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B433" w14:textId="3FA638A9" w:rsidR="005D5BD2" w:rsidRPr="005D5BD2" w:rsidRDefault="005D5BD2" w:rsidP="005D5BD2">
      <w:pPr>
        <w:shd w:val="clear" w:color="auto" w:fill="FFFFFF"/>
        <w:spacing w:after="161" w:line="240" w:lineRule="auto"/>
        <w:outlineLvl w:val="0"/>
        <w:rPr>
          <w:rFonts w:ascii="Times" w:eastAsia="Times New Roman" w:hAnsi="Times" w:cs="Times"/>
          <w:color w:val="000000"/>
          <w:kern w:val="36"/>
          <w:sz w:val="48"/>
          <w:szCs w:val="48"/>
          <w14:ligatures w14:val="none"/>
        </w:rPr>
      </w:pPr>
      <w:permStart w:id="2097769195" w:edGrp="everyone"/>
      <w:permEnd w:id="2097769195"/>
      <w:r w:rsidRPr="005D5BD2">
        <w:rPr>
          <w:rFonts w:ascii="Times" w:eastAsia="Times New Roman" w:hAnsi="Times" w:cs="Times"/>
          <w:color w:val="000000"/>
          <w:kern w:val="36"/>
          <w:sz w:val="48"/>
          <w:szCs w:val="48"/>
          <w14:ligatures w14:val="none"/>
        </w:rPr>
        <w:t xml:space="preserve">Fellowships: Payment of Salary and Other Personnel Expenses (OPE) </w:t>
      </w:r>
      <w:r w:rsidR="002A660D">
        <w:rPr>
          <w:rFonts w:ascii="Times" w:eastAsia="Times New Roman" w:hAnsi="Times" w:cs="Times"/>
          <w:color w:val="000000"/>
          <w:kern w:val="36"/>
          <w:sz w:val="48"/>
          <w:szCs w:val="48"/>
          <w14:ligatures w14:val="none"/>
        </w:rPr>
        <w:t xml:space="preserve">to </w:t>
      </w:r>
      <w:r w:rsidR="00A833CD">
        <w:rPr>
          <w:rFonts w:ascii="Times" w:eastAsia="Times New Roman" w:hAnsi="Times" w:cs="Times"/>
          <w:color w:val="000000"/>
          <w:kern w:val="36"/>
          <w:sz w:val="48"/>
          <w:szCs w:val="48"/>
          <w14:ligatures w14:val="none"/>
        </w:rPr>
        <w:t>Supplement</w:t>
      </w:r>
      <w:r w:rsidRPr="005D5BD2">
        <w:rPr>
          <w:rFonts w:ascii="Times" w:eastAsia="Times New Roman" w:hAnsi="Times" w:cs="Times"/>
          <w:color w:val="000000"/>
          <w:kern w:val="36"/>
          <w:sz w:val="48"/>
          <w:szCs w:val="48"/>
          <w14:ligatures w14:val="none"/>
        </w:rPr>
        <w:t xml:space="preserve"> Major Fellowships</w:t>
      </w:r>
    </w:p>
    <w:p w14:paraId="142CFC12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Last Updated</w:t>
      </w:r>
    </w:p>
    <w:p w14:paraId="1CCEF577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June 30, 1993</w:t>
      </w:r>
    </w:p>
    <w:p w14:paraId="4AAB8F2D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Effective Date</w:t>
      </w:r>
    </w:p>
    <w:p w14:paraId="32A08CFC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  <w:t>June 30, 1993</w:t>
      </w:r>
    </w:p>
    <w:p w14:paraId="544D7F01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Reason for Policy</w:t>
      </w:r>
    </w:p>
    <w:p w14:paraId="3C0E32F0" w14:textId="4F3A45AC" w:rsidR="005D5BD2" w:rsidRPr="005D5BD2" w:rsidRDefault="005D5BD2" w:rsidP="005D5BD2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To describe the terms and conditions under which the University 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may 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provide salary and OPE 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to supplement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major faculty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fellowships in a non-sabbatical year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 Many prestigious faculty fellowship programs provide only for the direct salary of the faculty member and do not cover fringe benefits</w:t>
      </w:r>
      <w:r w:rsidR="009049A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(OPE)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 In many cases, the fellowships are limited to an amount that covers only a portion of the full faculty salary. These fellowships do, however, permit the faculty member to pursue full-time research during the period of the fellowship, and the University wishes to encourage</w:t>
      </w:r>
      <w:r w:rsidR="001401B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faculty members to seek and accept these fellowships</w:t>
      </w:r>
      <w:r w:rsidR="00DD069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, especially during potential sabbatical years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07C4F868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Policy Statement</w:t>
      </w:r>
    </w:p>
    <w:p w14:paraId="2A7A71BE" w14:textId="641E09F4" w:rsidR="005D5BD2" w:rsidRPr="005D5BD2" w:rsidRDefault="005D5BD2" w:rsidP="005D5BD2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University 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may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provide salary and OPE 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to supplement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major faculty fellowships </w:t>
      </w:r>
      <w:r w:rsidR="00A3722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during a non-sabbatical year 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according to the following terms:</w:t>
      </w:r>
    </w:p>
    <w:p w14:paraId="2879A3A4" w14:textId="44B157DE" w:rsidR="005D5BD2" w:rsidRDefault="005D5BD2" w:rsidP="005D5B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During a non-sabbatical year</w:t>
      </w:r>
      <w:r w:rsidR="000739B7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,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the University 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may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provide up to 30% of the faculty member's designated annual salary to cover the difference between the salary support awarded by the fellowship and the regular salary. The University will provide 100% of the OPE for the designated annual salary</w:t>
      </w:r>
      <w:r w:rsidR="00BD28AC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(the salary from the fellowship plus the top-off salary)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. The faculty member is eligible for this support </w:t>
      </w:r>
      <w:r w:rsid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no more than 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once between sabbatical years. With the approval of the appropriate dean and department head, this support may be received immediately before or after a sabbatical leave.</w:t>
      </w:r>
      <w:r w:rsidR="0032465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 fellowship </w:t>
      </w:r>
      <w:r w:rsidR="000C073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year may follow a sabbatical, but it does not count as the year owed to the university following a sabbatical.</w:t>
      </w:r>
      <w:r w:rsid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</w:p>
    <w:p w14:paraId="0F953093" w14:textId="4EA4A6AB" w:rsidR="000C0738" w:rsidRDefault="00BD6B0A" w:rsidP="005D5B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fellowship award amount must be, at minimum, 30% of the recipient’s base salary at UO, making the salary top-off from </w:t>
      </w:r>
      <w:r w:rsid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UO akin to a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matching grant.</w:t>
      </w:r>
    </w:p>
    <w:p w14:paraId="1A87CCF4" w14:textId="120A401E" w:rsidR="001F6EEB" w:rsidRDefault="001F6EEB" w:rsidP="005D5B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1F6EE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>The faculty member must hold a tenured appointment of at least .50 FTE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30E645B6" w14:textId="1D9AD646" w:rsidR="001F6EEB" w:rsidRPr="00107AA2" w:rsidRDefault="001F6EEB" w:rsidP="001F6EEB">
      <w:pPr>
        <w:pStyle w:val="ListParagraph"/>
        <w:numPr>
          <w:ilvl w:val="0"/>
          <w:numId w:val="1"/>
        </w:numPr>
      </w:pPr>
      <w:r w:rsidRPr="00A6410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 fellowship award period is for at least a full</w:t>
      </w:r>
      <w:r w:rsidR="00DD069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A6410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term</w:t>
      </w:r>
      <w:r w:rsidR="00DD069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during the academic year</w:t>
      </w:r>
      <w:r w:rsidRPr="00A6410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08A87C00" w14:textId="5DE32B9E" w:rsidR="00107AA2" w:rsidRPr="00107AA2" w:rsidRDefault="005D5BD2" w:rsidP="003449AA">
      <w:pPr>
        <w:pStyle w:val="ListParagraph"/>
        <w:numPr>
          <w:ilvl w:val="0"/>
          <w:numId w:val="1"/>
        </w:numPr>
      </w:pPr>
      <w:r w:rsidRPr="003449A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 total salary compensation paid to the faculty member during the period of the fellowship does not exceed the faculty member</w:t>
      </w:r>
      <w:r w:rsidR="001F6EE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’</w:t>
      </w:r>
      <w:r w:rsidRPr="003449A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 usual University salary compensation for that period. This does not preclude proper additional salary as from consulting, summer salary payments, or special overload payments.</w:t>
      </w:r>
    </w:p>
    <w:p w14:paraId="15410807" w14:textId="39746945" w:rsidR="00107AA2" w:rsidRPr="00107AA2" w:rsidRDefault="005D5BD2" w:rsidP="00814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fellowship compensation is </w:t>
      </w:r>
      <w:r w:rsidR="00814D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administered</w:t>
      </w:r>
      <w:r w:rsidRP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61715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by</w:t>
      </w:r>
      <w:r w:rsidRP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the </w:t>
      </w:r>
      <w:r w:rsidR="0061715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Office of the Vice President for Research and Innovation</w:t>
      </w:r>
      <w:r w:rsidR="00F55940" w:rsidRP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and</w:t>
      </w:r>
      <w:r w:rsidR="00814D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paid </w:t>
      </w:r>
      <w:r w:rsidR="00C8601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via</w:t>
      </w:r>
      <w:r w:rsidR="00F55940" w:rsidRP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u</w:t>
      </w:r>
      <w:r w:rsidRP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niversity payroll</w:t>
      </w:r>
      <w:r w:rsidR="00F5594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7A7D04AB" w14:textId="5F9000D4" w:rsidR="00107AA2" w:rsidRPr="00107AA2" w:rsidRDefault="005D5BD2" w:rsidP="007D5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 fellowship leave is approved by the faculty member's dean and department head</w:t>
      </w:r>
      <w:r w:rsid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.</w:t>
      </w:r>
    </w:p>
    <w:p w14:paraId="37D8BA7E" w14:textId="32AB7317" w:rsidR="005D5BD2" w:rsidRPr="00107AA2" w:rsidRDefault="005D5BD2" w:rsidP="004860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fellowship is intended to support the faculty member's activities appropriately related to research, scholarship, or </w:t>
      </w:r>
      <w:r w:rsidR="000D543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creative activity</w:t>
      </w:r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and it is considered by the </w:t>
      </w:r>
      <w:proofErr w:type="gramStart"/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Provost</w:t>
      </w:r>
      <w:proofErr w:type="gramEnd"/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to be in the best interests of the University that the faculty member accept the fellowship.</w:t>
      </w:r>
      <w:r w:rsidR="001F6EE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To this end, the fellowship should be a major and prestigious one.  </w:t>
      </w:r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Examples of </w:t>
      </w:r>
      <w:r w:rsidR="004B060E"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prestigious</w:t>
      </w:r>
      <w:r w:rsidR="00944489"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107A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fellowships that might be eligible include:</w:t>
      </w:r>
    </w:p>
    <w:p w14:paraId="10775243" w14:textId="6CBFA9D8" w:rsidR="005D5BD2" w:rsidRPr="006A2CF4" w:rsidRDefault="005D5BD2" w:rsidP="006A2CF4">
      <w:pPr>
        <w:shd w:val="clear" w:color="auto" w:fill="FFFFFF"/>
        <w:spacing w:before="100" w:beforeAutospacing="1" w:after="0" w:line="240" w:lineRule="auto"/>
        <w:ind w:left="1800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Fulbright</w:t>
      </w:r>
    </w:p>
    <w:p w14:paraId="4C9B89B0" w14:textId="77777777" w:rsidR="005D5BD2" w:rsidRPr="006A2CF4" w:rsidRDefault="005D5BD2" w:rsidP="006A2CF4">
      <w:pPr>
        <w:shd w:val="clear" w:color="auto" w:fill="FFFFFF"/>
        <w:spacing w:before="100" w:beforeAutospacing="1" w:after="0" w:line="240" w:lineRule="auto"/>
        <w:ind w:left="1800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John Simon Guggenheim Memorial Foundation</w:t>
      </w:r>
    </w:p>
    <w:p w14:paraId="1139E073" w14:textId="77777777" w:rsidR="005863D3" w:rsidRPr="006A2CF4" w:rsidRDefault="005D5BD2" w:rsidP="006A2CF4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National Endowment for the Humanitie</w:t>
      </w:r>
      <w:r w:rsidR="005863D3"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</w:t>
      </w:r>
    </w:p>
    <w:p w14:paraId="7E06D43C" w14:textId="1F0CF11E" w:rsidR="005D5BD2" w:rsidRPr="006A2CF4" w:rsidRDefault="005863D3" w:rsidP="00D23B21">
      <w:pPr>
        <w:shd w:val="clear" w:color="auto" w:fill="FFFFFF"/>
        <w:spacing w:before="100" w:beforeAutospacing="1" w:after="100" w:afterAutospacing="1" w:line="240" w:lineRule="auto"/>
        <w:ind w:left="1080" w:firstLine="720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National Endowment for the </w:t>
      </w:r>
      <w:r w:rsidR="005D5BD2"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Arts</w:t>
      </w:r>
    </w:p>
    <w:p w14:paraId="11966744" w14:textId="4E826C4A" w:rsidR="00944489" w:rsidRPr="006A2CF4" w:rsidRDefault="00944489" w:rsidP="006A2CF4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American Council for Learned Societies</w:t>
      </w:r>
    </w:p>
    <w:p w14:paraId="7E17A1A4" w14:textId="74FFA4B1" w:rsidR="002B6AC7" w:rsidRPr="006A2CF4" w:rsidRDefault="002B6AC7" w:rsidP="00D23B21">
      <w:pPr>
        <w:shd w:val="clear" w:color="auto" w:fill="FFFFFF"/>
        <w:spacing w:before="100" w:beforeAutospacing="1" w:after="100" w:afterAutospacing="1" w:line="240" w:lineRule="auto"/>
        <w:ind w:left="1440" w:firstLine="360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A2CF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Max Planck Institute</w:t>
      </w:r>
      <w:r w:rsidR="0042021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</w:t>
      </w:r>
    </w:p>
    <w:p w14:paraId="6708FFC0" w14:textId="38821A7A" w:rsidR="005D5BD2" w:rsidRPr="005D5BD2" w:rsidRDefault="005D5BD2" w:rsidP="005D5BD2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</w:t>
      </w:r>
      <w:proofErr w:type="gramStart"/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Provost</w:t>
      </w:r>
      <w:proofErr w:type="gramEnd"/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may make exceptions to this policy when </w:t>
      </w:r>
      <w:r w:rsidR="00737207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they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believe that doing so is in the best interests of the University and the </w:t>
      </w:r>
      <w:r w:rsidR="00737207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f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aculty member requesting an exception.</w:t>
      </w:r>
    </w:p>
    <w:p w14:paraId="5F484FA0" w14:textId="1E0382C4" w:rsidR="005D5BD2" w:rsidRPr="005D5BD2" w:rsidRDefault="005D5BD2" w:rsidP="005D5BD2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University's coverage of OPE costs ensures that the faculty member receives continued health insurance and worker's compensation coverage, continues participation in tax-deferred programs, and receives credit towards </w:t>
      </w: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t>accrued sabbatical time and retirement benefits. The faculty member will also continue to have social security contributions withheld from each paycheck.</w:t>
      </w:r>
    </w:p>
    <w:p w14:paraId="74239606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  <w:t>Reviewed and Approved By</w:t>
      </w:r>
    </w:p>
    <w:p w14:paraId="143F4969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  <w:t>President's Staff</w:t>
      </w:r>
    </w:p>
    <w:p w14:paraId="5AF003E8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  <w:t>Date</w:t>
      </w:r>
    </w:p>
    <w:p w14:paraId="44D2AF0D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  <w:t>Wed, 06/30/1993 - 12:00</w:t>
      </w:r>
    </w:p>
    <w:p w14:paraId="61926268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  <w:t>Issued By</w:t>
      </w:r>
    </w:p>
    <w:p w14:paraId="47D62412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  <w:t>President</w:t>
      </w:r>
    </w:p>
    <w:p w14:paraId="7D329CC7" w14:textId="77777777" w:rsidR="005D5BD2" w:rsidRPr="0094046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b/>
          <w:bCs/>
          <w:color w:val="0070C0"/>
          <w:kern w:val="0"/>
          <w:sz w:val="27"/>
          <w:szCs w:val="27"/>
          <w14:ligatures w14:val="none"/>
        </w:rPr>
        <w:t>Revision History</w:t>
      </w:r>
    </w:p>
    <w:p w14:paraId="19B5811F" w14:textId="77777777" w:rsidR="005D5BD2" w:rsidRPr="00940462" w:rsidRDefault="005D5BD2" w:rsidP="005D5BD2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</w:pPr>
      <w:r w:rsidRPr="00940462">
        <w:rPr>
          <w:rFonts w:ascii="Arial" w:eastAsia="Times New Roman" w:hAnsi="Arial" w:cs="Arial"/>
          <w:color w:val="0070C0"/>
          <w:kern w:val="0"/>
          <w:sz w:val="27"/>
          <w:szCs w:val="27"/>
          <w14:ligatures w14:val="none"/>
        </w:rPr>
        <w:t>08 February 2010 - Policy number revised from 3.130 to 02.01.09</w:t>
      </w:r>
    </w:p>
    <w:p w14:paraId="63273B6E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Original Source</w:t>
      </w:r>
    </w:p>
    <w:p w14:paraId="731FDB80" w14:textId="77777777" w:rsidR="005D5BD2" w:rsidRPr="005D5BD2" w:rsidRDefault="005D5BD2" w:rsidP="005D5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5D5BD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UO Policy Statement</w:t>
      </w:r>
    </w:p>
    <w:p w14:paraId="7CFD9DB9" w14:textId="77777777" w:rsidR="006B4CDB" w:rsidRDefault="006B4CDB"/>
    <w:sectPr w:rsidR="006B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F35F" w14:textId="77777777" w:rsidR="00435A0D" w:rsidRDefault="00435A0D" w:rsidP="00161B0B">
      <w:pPr>
        <w:spacing w:after="0" w:line="240" w:lineRule="auto"/>
      </w:pPr>
      <w:r>
        <w:separator/>
      </w:r>
    </w:p>
  </w:endnote>
  <w:endnote w:type="continuationSeparator" w:id="0">
    <w:p w14:paraId="462C2AF8" w14:textId="77777777" w:rsidR="00435A0D" w:rsidRDefault="00435A0D" w:rsidP="0016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AC1D" w14:textId="77777777" w:rsidR="00435A0D" w:rsidRDefault="00435A0D" w:rsidP="00161B0B">
      <w:pPr>
        <w:spacing w:after="0" w:line="240" w:lineRule="auto"/>
      </w:pPr>
      <w:r>
        <w:separator/>
      </w:r>
    </w:p>
  </w:footnote>
  <w:footnote w:type="continuationSeparator" w:id="0">
    <w:p w14:paraId="2B08B156" w14:textId="77777777" w:rsidR="00435A0D" w:rsidRDefault="00435A0D" w:rsidP="0016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D63"/>
    <w:multiLevelType w:val="multilevel"/>
    <w:tmpl w:val="F25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8748D"/>
    <w:multiLevelType w:val="multilevel"/>
    <w:tmpl w:val="35A6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D249C"/>
    <w:multiLevelType w:val="hybridMultilevel"/>
    <w:tmpl w:val="6E7863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575BF9"/>
    <w:multiLevelType w:val="hybridMultilevel"/>
    <w:tmpl w:val="5370851C"/>
    <w:lvl w:ilvl="0" w:tplc="F9A4BEDE">
      <w:start w:val="1"/>
      <w:numFmt w:val="decimal"/>
      <w:lvlText w:val="%1."/>
      <w:lvlJc w:val="left"/>
      <w:pPr>
        <w:ind w:left="1440" w:hanging="360"/>
      </w:pPr>
    </w:lvl>
    <w:lvl w:ilvl="1" w:tplc="BA920D60">
      <w:start w:val="1"/>
      <w:numFmt w:val="decimal"/>
      <w:lvlText w:val="%2."/>
      <w:lvlJc w:val="left"/>
      <w:pPr>
        <w:ind w:left="1440" w:hanging="360"/>
      </w:pPr>
    </w:lvl>
    <w:lvl w:ilvl="2" w:tplc="666E208E">
      <w:start w:val="1"/>
      <w:numFmt w:val="decimal"/>
      <w:lvlText w:val="%3."/>
      <w:lvlJc w:val="left"/>
      <w:pPr>
        <w:ind w:left="1440" w:hanging="360"/>
      </w:pPr>
    </w:lvl>
    <w:lvl w:ilvl="3" w:tplc="46D8191C">
      <w:start w:val="1"/>
      <w:numFmt w:val="decimal"/>
      <w:lvlText w:val="%4."/>
      <w:lvlJc w:val="left"/>
      <w:pPr>
        <w:ind w:left="1440" w:hanging="360"/>
      </w:pPr>
    </w:lvl>
    <w:lvl w:ilvl="4" w:tplc="CEC6240A">
      <w:start w:val="1"/>
      <w:numFmt w:val="decimal"/>
      <w:lvlText w:val="%5."/>
      <w:lvlJc w:val="left"/>
      <w:pPr>
        <w:ind w:left="1440" w:hanging="360"/>
      </w:pPr>
    </w:lvl>
    <w:lvl w:ilvl="5" w:tplc="0AF2266C">
      <w:start w:val="1"/>
      <w:numFmt w:val="decimal"/>
      <w:lvlText w:val="%6."/>
      <w:lvlJc w:val="left"/>
      <w:pPr>
        <w:ind w:left="1440" w:hanging="360"/>
      </w:pPr>
    </w:lvl>
    <w:lvl w:ilvl="6" w:tplc="59600950">
      <w:start w:val="1"/>
      <w:numFmt w:val="decimal"/>
      <w:lvlText w:val="%7."/>
      <w:lvlJc w:val="left"/>
      <w:pPr>
        <w:ind w:left="1440" w:hanging="360"/>
      </w:pPr>
    </w:lvl>
    <w:lvl w:ilvl="7" w:tplc="BB6A6500">
      <w:start w:val="1"/>
      <w:numFmt w:val="decimal"/>
      <w:lvlText w:val="%8."/>
      <w:lvlJc w:val="left"/>
      <w:pPr>
        <w:ind w:left="1440" w:hanging="360"/>
      </w:pPr>
    </w:lvl>
    <w:lvl w:ilvl="8" w:tplc="1886557C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4FC86EEB"/>
    <w:multiLevelType w:val="hybridMultilevel"/>
    <w:tmpl w:val="03BE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87452"/>
    <w:multiLevelType w:val="multilevel"/>
    <w:tmpl w:val="A01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747A4"/>
    <w:multiLevelType w:val="hybridMultilevel"/>
    <w:tmpl w:val="661A56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4187457">
    <w:abstractNumId w:val="5"/>
  </w:num>
  <w:num w:numId="2" w16cid:durableId="882986839">
    <w:abstractNumId w:val="1"/>
  </w:num>
  <w:num w:numId="3" w16cid:durableId="342515006">
    <w:abstractNumId w:val="0"/>
  </w:num>
  <w:num w:numId="4" w16cid:durableId="1997800362">
    <w:abstractNumId w:val="0"/>
  </w:num>
  <w:num w:numId="5" w16cid:durableId="1673145002">
    <w:abstractNumId w:val="3"/>
  </w:num>
  <w:num w:numId="6" w16cid:durableId="233853088">
    <w:abstractNumId w:val="4"/>
  </w:num>
  <w:num w:numId="7" w16cid:durableId="830214861">
    <w:abstractNumId w:val="6"/>
  </w:num>
  <w:num w:numId="8" w16cid:durableId="7460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D2"/>
    <w:rsid w:val="000076ED"/>
    <w:rsid w:val="000739B7"/>
    <w:rsid w:val="000C0738"/>
    <w:rsid w:val="000D5432"/>
    <w:rsid w:val="00107AA2"/>
    <w:rsid w:val="00110609"/>
    <w:rsid w:val="00137E3D"/>
    <w:rsid w:val="001401BD"/>
    <w:rsid w:val="00144706"/>
    <w:rsid w:val="00161B0B"/>
    <w:rsid w:val="00197A85"/>
    <w:rsid w:val="001F6EEB"/>
    <w:rsid w:val="00220F53"/>
    <w:rsid w:val="002765A0"/>
    <w:rsid w:val="002A660D"/>
    <w:rsid w:val="002B6AC7"/>
    <w:rsid w:val="003078CB"/>
    <w:rsid w:val="00313205"/>
    <w:rsid w:val="00324650"/>
    <w:rsid w:val="003449AA"/>
    <w:rsid w:val="003B2412"/>
    <w:rsid w:val="0042021F"/>
    <w:rsid w:val="00435A0D"/>
    <w:rsid w:val="0048281D"/>
    <w:rsid w:val="00486062"/>
    <w:rsid w:val="004A420C"/>
    <w:rsid w:val="004B060E"/>
    <w:rsid w:val="00523E9A"/>
    <w:rsid w:val="0052424C"/>
    <w:rsid w:val="005863D3"/>
    <w:rsid w:val="005C26A9"/>
    <w:rsid w:val="005D5BD2"/>
    <w:rsid w:val="0061715B"/>
    <w:rsid w:val="006825CE"/>
    <w:rsid w:val="00686D92"/>
    <w:rsid w:val="00695E03"/>
    <w:rsid w:val="006A2CF4"/>
    <w:rsid w:val="006B4CDB"/>
    <w:rsid w:val="00737207"/>
    <w:rsid w:val="00757F34"/>
    <w:rsid w:val="007A1B4C"/>
    <w:rsid w:val="007C71DE"/>
    <w:rsid w:val="007D5695"/>
    <w:rsid w:val="008139DE"/>
    <w:rsid w:val="00814D5A"/>
    <w:rsid w:val="00841BE0"/>
    <w:rsid w:val="00896307"/>
    <w:rsid w:val="008A3F6D"/>
    <w:rsid w:val="008F38CC"/>
    <w:rsid w:val="009049AE"/>
    <w:rsid w:val="00940462"/>
    <w:rsid w:val="00944489"/>
    <w:rsid w:val="009930DB"/>
    <w:rsid w:val="009B2D4F"/>
    <w:rsid w:val="009E1CBD"/>
    <w:rsid w:val="00A1154C"/>
    <w:rsid w:val="00A2061F"/>
    <w:rsid w:val="00A37225"/>
    <w:rsid w:val="00A63728"/>
    <w:rsid w:val="00A833CD"/>
    <w:rsid w:val="00A9497C"/>
    <w:rsid w:val="00AE6139"/>
    <w:rsid w:val="00B972A7"/>
    <w:rsid w:val="00BD079A"/>
    <w:rsid w:val="00BD28AC"/>
    <w:rsid w:val="00BD6B0A"/>
    <w:rsid w:val="00C157D4"/>
    <w:rsid w:val="00C57A61"/>
    <w:rsid w:val="00C6314F"/>
    <w:rsid w:val="00C77966"/>
    <w:rsid w:val="00C8601D"/>
    <w:rsid w:val="00D23B21"/>
    <w:rsid w:val="00D77E1C"/>
    <w:rsid w:val="00DD069D"/>
    <w:rsid w:val="00E37151"/>
    <w:rsid w:val="00E86F44"/>
    <w:rsid w:val="00ED52BC"/>
    <w:rsid w:val="00EE3078"/>
    <w:rsid w:val="00EE58F0"/>
    <w:rsid w:val="00F003E0"/>
    <w:rsid w:val="00F322DA"/>
    <w:rsid w:val="00F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2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B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049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7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2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0B"/>
  </w:style>
  <w:style w:type="paragraph" w:styleId="Footer">
    <w:name w:val="footer"/>
    <w:basedOn w:val="Normal"/>
    <w:link w:val="FooterChar"/>
    <w:uiPriority w:val="99"/>
    <w:unhideWhenUsed/>
    <w:rsid w:val="0016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0B"/>
  </w:style>
  <w:style w:type="character" w:styleId="Hyperlink">
    <w:name w:val="Hyperlink"/>
    <w:basedOn w:val="DefaultParagraphFont"/>
    <w:uiPriority w:val="99"/>
    <w:unhideWhenUsed/>
    <w:rsid w:val="005863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783">
                          <w:blockQuote w:val="1"/>
                          <w:marLeft w:val="450"/>
                          <w:marRight w:val="45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3482">
                              <w:blockQuote w:val="1"/>
                              <w:marLeft w:val="450"/>
                              <w:marRight w:val="45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6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3290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2025-10-09T22:33:00Z</dcterms:created>
  <dcterms:modified xsi:type="dcterms:W3CDTF">2025-10-09T22:34:00Z</dcterms:modified>
</cp:coreProperties>
</file>