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28D71" w14:textId="0CEAD6F9" w:rsidR="00DE14C6" w:rsidRPr="00250D9B" w:rsidRDefault="3960ABF4" w:rsidP="131855AD">
      <w:pPr>
        <w:rPr>
          <w:rFonts w:asciiTheme="minorHAnsi" w:hAnsiTheme="minorHAnsi" w:cstheme="minorBidi"/>
          <w:b/>
          <w:bCs/>
        </w:rPr>
      </w:pPr>
      <w:bookmarkStart w:id="0" w:name="_GoBack"/>
      <w:bookmarkEnd w:id="0"/>
      <w:r w:rsidRPr="131855AD">
        <w:rPr>
          <w:rFonts w:asciiTheme="minorHAnsi" w:hAnsiTheme="minorHAnsi" w:cstheme="minorBidi"/>
          <w:b/>
          <w:bCs/>
        </w:rPr>
        <w:t xml:space="preserve">US20/21- </w:t>
      </w:r>
      <w:r w:rsidR="3EB71A89" w:rsidRPr="131855AD">
        <w:rPr>
          <w:rFonts w:asciiTheme="minorHAnsi" w:hAnsiTheme="minorHAnsi" w:cstheme="minorBidi"/>
          <w:b/>
          <w:bCs/>
        </w:rPr>
        <w:t xml:space="preserve">Motion </w:t>
      </w:r>
      <w:r w:rsidRPr="131855AD">
        <w:rPr>
          <w:rFonts w:asciiTheme="minorHAnsi" w:hAnsiTheme="minorHAnsi" w:cstheme="minorBidi"/>
          <w:b/>
          <w:bCs/>
        </w:rPr>
        <w:t>Affirming Multi-Source, Criteria-Based Teaching Evaluation Framework</w:t>
      </w:r>
    </w:p>
    <w:p w14:paraId="3BB49CB4" w14:textId="1AEC79D6" w:rsidR="00250D9B" w:rsidRDefault="00250D9B" w:rsidP="00DE14C6">
      <w:pPr>
        <w:rPr>
          <w:rFonts w:asciiTheme="minorHAnsi" w:hAnsiTheme="minorHAnsi" w:cstheme="minorBidi"/>
        </w:rPr>
      </w:pPr>
    </w:p>
    <w:p w14:paraId="3114D6E3" w14:textId="0A0D5D10" w:rsidR="00CE4B2A" w:rsidRPr="00286988" w:rsidRDefault="00D26794" w:rsidP="00CE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sz w:val="22"/>
          <w:szCs w:val="22"/>
        </w:rPr>
      </w:pPr>
      <w:r>
        <w:rPr>
          <w:rFonts w:asciiTheme="minorHAnsi" w:hAnsiTheme="minorHAnsi" w:cstheme="minorBidi"/>
          <w:sz w:val="22"/>
          <w:szCs w:val="22"/>
        </w:rPr>
        <w:t xml:space="preserve">Preamble: </w:t>
      </w:r>
      <w:r w:rsidR="00250D9B" w:rsidRPr="632F70E4">
        <w:rPr>
          <w:rFonts w:asciiTheme="minorHAnsi" w:hAnsiTheme="minorHAnsi" w:cstheme="minorBidi"/>
          <w:sz w:val="22"/>
          <w:szCs w:val="22"/>
        </w:rPr>
        <w:t xml:space="preserve">This </w:t>
      </w:r>
      <w:r w:rsidR="2A1A6209" w:rsidRPr="632F70E4">
        <w:rPr>
          <w:rFonts w:asciiTheme="minorHAnsi" w:hAnsiTheme="minorHAnsi" w:cstheme="minorBidi"/>
          <w:sz w:val="22"/>
          <w:szCs w:val="22"/>
        </w:rPr>
        <w:t>motion</w:t>
      </w:r>
      <w:r w:rsidR="00CE4B2A" w:rsidRPr="632F70E4">
        <w:rPr>
          <w:rFonts w:asciiTheme="minorHAnsi" w:hAnsiTheme="minorHAnsi" w:cstheme="minorBidi"/>
          <w:sz w:val="22"/>
          <w:szCs w:val="22"/>
        </w:rPr>
        <w:t xml:space="preserve"> </w:t>
      </w:r>
      <w:r w:rsidR="00C958E8" w:rsidRPr="632F70E4">
        <w:rPr>
          <w:rFonts w:asciiTheme="minorHAnsi" w:hAnsiTheme="minorHAnsi" w:cstheme="minorBidi"/>
          <w:sz w:val="22"/>
          <w:szCs w:val="22"/>
        </w:rPr>
        <w:t xml:space="preserve">brings to the Senate for a vote the </w:t>
      </w:r>
      <w:r w:rsidR="00CE4B2A" w:rsidRPr="632F70E4">
        <w:rPr>
          <w:rFonts w:asciiTheme="minorHAnsi" w:hAnsiTheme="minorHAnsi" w:cstheme="minorBidi"/>
          <w:sz w:val="22"/>
          <w:szCs w:val="22"/>
        </w:rPr>
        <w:t xml:space="preserve">Teaching Evaluation Framework </w:t>
      </w:r>
      <w:r w:rsidR="0420EEE7" w:rsidRPr="632F70E4">
        <w:rPr>
          <w:rFonts w:asciiTheme="minorHAnsi" w:hAnsiTheme="minorHAnsi" w:cstheme="minorBidi"/>
          <w:sz w:val="22"/>
          <w:szCs w:val="22"/>
        </w:rPr>
        <w:t>that</w:t>
      </w:r>
      <w:r w:rsidR="00CE4B2A" w:rsidRPr="632F70E4">
        <w:rPr>
          <w:rFonts w:asciiTheme="minorHAnsi" w:hAnsiTheme="minorHAnsi" w:cstheme="minorBidi"/>
          <w:sz w:val="22"/>
          <w:szCs w:val="22"/>
        </w:rPr>
        <w:t xml:space="preserve"> establish</w:t>
      </w:r>
      <w:r w:rsidR="00DC2C75" w:rsidRPr="632F70E4">
        <w:rPr>
          <w:rFonts w:asciiTheme="minorHAnsi" w:hAnsiTheme="minorHAnsi" w:cstheme="minorBidi"/>
          <w:sz w:val="22"/>
          <w:szCs w:val="22"/>
        </w:rPr>
        <w:t>es</w:t>
      </w:r>
      <w:r w:rsidR="00CE4B2A" w:rsidRPr="632F70E4">
        <w:rPr>
          <w:rFonts w:asciiTheme="minorHAnsi" w:hAnsiTheme="minorHAnsi" w:cstheme="minorBidi"/>
          <w:sz w:val="22"/>
          <w:szCs w:val="22"/>
        </w:rPr>
        <w:t xml:space="preserve"> a consistent process and criteria for evaluating teaching</w:t>
      </w:r>
      <w:r w:rsidR="00C958E8" w:rsidRPr="632F70E4">
        <w:rPr>
          <w:rFonts w:asciiTheme="minorHAnsi" w:hAnsiTheme="minorHAnsi" w:cstheme="minorBidi"/>
          <w:sz w:val="22"/>
          <w:szCs w:val="22"/>
        </w:rPr>
        <w:t xml:space="preserve">, which the CIET committee was charged to do in </w:t>
      </w:r>
      <w:hyperlink r:id="rId5">
        <w:r w:rsidR="00C958E8" w:rsidRPr="632F70E4">
          <w:rPr>
            <w:rStyle w:val="Hyperlink"/>
            <w:rFonts w:asciiTheme="minorHAnsi" w:hAnsiTheme="minorHAnsi" w:cstheme="minorBidi"/>
            <w:sz w:val="22"/>
            <w:szCs w:val="22"/>
          </w:rPr>
          <w:t>motion 17/18-19</w:t>
        </w:r>
      </w:hyperlink>
      <w:r w:rsidR="00DC2C75" w:rsidRPr="632F70E4">
        <w:rPr>
          <w:rStyle w:val="Hyperlink"/>
          <w:rFonts w:asciiTheme="minorHAnsi" w:hAnsiTheme="minorHAnsi" w:cstheme="minorBidi"/>
          <w:sz w:val="22"/>
          <w:szCs w:val="22"/>
        </w:rPr>
        <w:t>.</w:t>
      </w:r>
    </w:p>
    <w:p w14:paraId="7D0AD56A" w14:textId="77777777" w:rsidR="00250D9B" w:rsidRDefault="00250D9B" w:rsidP="00DE14C6">
      <w:pPr>
        <w:rPr>
          <w:rFonts w:asciiTheme="minorHAnsi" w:hAnsiTheme="minorHAnsi" w:cstheme="minorBidi"/>
          <w:sz w:val="22"/>
          <w:szCs w:val="22"/>
        </w:rPr>
      </w:pPr>
    </w:p>
    <w:p w14:paraId="0388E8F1" w14:textId="70E9281C" w:rsidR="00DE14C6" w:rsidRDefault="00DE14C6" w:rsidP="00DE14C6">
      <w:pPr>
        <w:rPr>
          <w:rFonts w:asciiTheme="minorHAnsi" w:hAnsiTheme="minorHAnsi" w:cstheme="minorBidi"/>
          <w:b/>
          <w:sz w:val="22"/>
          <w:szCs w:val="22"/>
        </w:rPr>
      </w:pPr>
      <w:r w:rsidRPr="6CD64B18">
        <w:rPr>
          <w:rFonts w:asciiTheme="minorHAnsi" w:hAnsiTheme="minorHAnsi" w:cstheme="minorBidi"/>
          <w:b/>
          <w:sz w:val="22"/>
          <w:szCs w:val="22"/>
        </w:rPr>
        <w:t>Section I</w:t>
      </w:r>
    </w:p>
    <w:p w14:paraId="365D2491" w14:textId="77777777" w:rsidR="00DE14C6" w:rsidRDefault="00DE14C6" w:rsidP="00DE14C6">
      <w:pPr>
        <w:rPr>
          <w:rFonts w:asciiTheme="minorHAnsi" w:hAnsiTheme="minorHAnsi" w:cstheme="minorBidi"/>
          <w:sz w:val="22"/>
          <w:szCs w:val="22"/>
        </w:rPr>
      </w:pPr>
    </w:p>
    <w:p w14:paraId="2E509F4D" w14:textId="482B4EBD" w:rsidR="00DE14C6" w:rsidRDefault="141A4A54" w:rsidP="00DE14C6">
      <w:pPr>
        <w:rPr>
          <w:rFonts w:asciiTheme="minorHAnsi" w:hAnsiTheme="minorHAnsi" w:cstheme="minorBidi"/>
          <w:color w:val="000000" w:themeColor="text1"/>
          <w:sz w:val="22"/>
          <w:szCs w:val="22"/>
        </w:rPr>
      </w:pPr>
      <w:r w:rsidRPr="632F70E4">
        <w:rPr>
          <w:rFonts w:asciiTheme="minorHAnsi" w:hAnsiTheme="minorHAnsi" w:cstheme="minorBidi"/>
          <w:sz w:val="22"/>
          <w:szCs w:val="22"/>
        </w:rPr>
        <w:t xml:space="preserve">1.1 </w:t>
      </w:r>
      <w:r w:rsidR="00DE14C6" w:rsidRPr="632F70E4">
        <w:rPr>
          <w:rFonts w:asciiTheme="minorHAnsi" w:hAnsiTheme="minorHAnsi" w:cstheme="minorBidi"/>
          <w:sz w:val="22"/>
          <w:szCs w:val="22"/>
        </w:rPr>
        <w:t xml:space="preserve">WHEREAS: </w:t>
      </w:r>
      <w:r w:rsidR="00DE14C6" w:rsidRPr="69C97621">
        <w:rPr>
          <w:rFonts w:ascii="Calibri" w:eastAsia="Calibri" w:hAnsi="Calibri" w:cs="Calibri"/>
          <w:color w:val="000000" w:themeColor="text1"/>
          <w:sz w:val="22"/>
          <w:szCs w:val="22"/>
        </w:rPr>
        <w:t>the Senate has undertaken a multi-year effort to examine and improve UO’s teaching evaluation instruments and practices toward “reducing biases and improving validity, with the goal of improving teaching, learning, and equity” (US16/17-28)</w:t>
      </w:r>
      <w:r w:rsidR="006F1F72">
        <w:rPr>
          <w:rFonts w:ascii="Calibri" w:eastAsia="Calibri" w:hAnsi="Calibri" w:cs="Calibri"/>
          <w:color w:val="000000" w:themeColor="text1"/>
          <w:sz w:val="22"/>
          <w:szCs w:val="22"/>
        </w:rPr>
        <w:t>;</w:t>
      </w:r>
    </w:p>
    <w:p w14:paraId="65FC1188" w14:textId="77777777" w:rsidR="00DE14C6" w:rsidRDefault="00DE14C6" w:rsidP="00DE14C6">
      <w:pPr>
        <w:rPr>
          <w:rFonts w:ascii="Calibri" w:eastAsia="Calibri" w:hAnsi="Calibri" w:cs="Calibri"/>
          <w:color w:val="000000" w:themeColor="text1"/>
          <w:sz w:val="22"/>
          <w:szCs w:val="22"/>
        </w:rPr>
      </w:pPr>
    </w:p>
    <w:p w14:paraId="12396FF7" w14:textId="40C90F0E" w:rsidR="00DE14C6" w:rsidRDefault="51B4570E"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1.2 </w:t>
      </w:r>
      <w:r w:rsidR="00DE14C6" w:rsidRPr="632F70E4">
        <w:rPr>
          <w:rFonts w:asciiTheme="minorHAnsi" w:hAnsiTheme="minorHAnsi" w:cstheme="minorBidi"/>
          <w:sz w:val="22"/>
          <w:szCs w:val="22"/>
        </w:rPr>
        <w:t>WHEREAS: t</w:t>
      </w:r>
      <w:r w:rsidR="00DE14C6" w:rsidRPr="69C97621">
        <w:rPr>
          <w:rFonts w:ascii="Calibri" w:eastAsia="Calibri" w:hAnsi="Calibri" w:cs="Calibri"/>
          <w:color w:val="000000" w:themeColor="text1"/>
          <w:sz w:val="22"/>
          <w:szCs w:val="22"/>
        </w:rPr>
        <w:t>his work has been guided by principles that teaching evaluation should be a) fair and transparent, b) conducted against a clear definition of teaching excellence and aligned criteria, and c) informed by data collected from peers, students, and instructors themselves</w:t>
      </w:r>
      <w:r w:rsidR="006F1F72">
        <w:rPr>
          <w:rFonts w:ascii="Calibri" w:eastAsia="Calibri" w:hAnsi="Calibri" w:cs="Calibri"/>
          <w:color w:val="000000" w:themeColor="text1"/>
          <w:sz w:val="22"/>
          <w:szCs w:val="22"/>
        </w:rPr>
        <w:t>;</w:t>
      </w:r>
      <w:r w:rsidR="00DE14C6" w:rsidRPr="69C97621">
        <w:rPr>
          <w:rFonts w:ascii="Calibri" w:eastAsia="Calibri" w:hAnsi="Calibri" w:cs="Calibri"/>
          <w:color w:val="000000" w:themeColor="text1"/>
          <w:sz w:val="22"/>
          <w:szCs w:val="22"/>
        </w:rPr>
        <w:t xml:space="preserve"> </w:t>
      </w:r>
    </w:p>
    <w:p w14:paraId="40891D3D" w14:textId="77777777" w:rsidR="00DE14C6" w:rsidRDefault="00DE14C6" w:rsidP="00DE14C6">
      <w:pPr>
        <w:rPr>
          <w:rFonts w:ascii="Calibri" w:eastAsia="Calibri" w:hAnsi="Calibri" w:cs="Calibri"/>
          <w:color w:val="000000" w:themeColor="text1"/>
          <w:sz w:val="22"/>
          <w:szCs w:val="22"/>
        </w:rPr>
      </w:pPr>
    </w:p>
    <w:p w14:paraId="67338413" w14:textId="3FBB07B3" w:rsidR="00DE14C6" w:rsidRDefault="2A3F3682"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1.3 </w:t>
      </w:r>
      <w:r w:rsidR="00DE14C6" w:rsidRPr="632F70E4">
        <w:rPr>
          <w:rFonts w:asciiTheme="minorHAnsi" w:hAnsiTheme="minorHAnsi" w:cstheme="minorBidi"/>
          <w:sz w:val="22"/>
          <w:szCs w:val="22"/>
        </w:rPr>
        <w:t>WHEREAS:</w:t>
      </w:r>
      <w:r w:rsidR="00DE14C6" w:rsidRPr="69C97621">
        <w:rPr>
          <w:rFonts w:ascii="Calibri" w:eastAsia="Calibri" w:hAnsi="Calibri" w:cs="Calibri"/>
          <w:color w:val="000000" w:themeColor="text1"/>
          <w:sz w:val="22"/>
          <w:szCs w:val="22"/>
        </w:rPr>
        <w:t xml:space="preserve"> using transparent, consistent criteria and multiple data sources are evidence-based approaches to reducing the impact of bias in the evaluation of teaching</w:t>
      </w:r>
      <w:r w:rsidR="734C1A2C" w:rsidRPr="5B459EA6">
        <w:rPr>
          <w:rFonts w:ascii="Calibri" w:eastAsia="Calibri" w:hAnsi="Calibri" w:cs="Calibri"/>
          <w:color w:val="000000" w:themeColor="text1"/>
          <w:sz w:val="22"/>
          <w:szCs w:val="22"/>
        </w:rPr>
        <w:t>;</w:t>
      </w:r>
      <w:r w:rsidR="3F85045D" w:rsidRPr="541CE20C">
        <w:rPr>
          <w:rFonts w:ascii="Calibri" w:eastAsia="Calibri" w:hAnsi="Calibri" w:cs="Calibri"/>
          <w:color w:val="000000" w:themeColor="text1"/>
          <w:sz w:val="22"/>
          <w:szCs w:val="22"/>
        </w:rPr>
        <w:t xml:space="preserve"> </w:t>
      </w:r>
    </w:p>
    <w:p w14:paraId="3E5EC1B7" w14:textId="77777777" w:rsidR="00DE14C6" w:rsidRDefault="00DE14C6" w:rsidP="00DE14C6">
      <w:pPr>
        <w:rPr>
          <w:rFonts w:ascii="Calibri" w:eastAsia="Calibri" w:hAnsi="Calibri" w:cs="Calibri"/>
          <w:color w:val="000000" w:themeColor="text1"/>
          <w:sz w:val="22"/>
          <w:szCs w:val="22"/>
        </w:rPr>
      </w:pPr>
      <w:r w:rsidRPr="69C97621">
        <w:rPr>
          <w:rFonts w:ascii="Calibri" w:eastAsia="Calibri" w:hAnsi="Calibri" w:cs="Calibri"/>
          <w:color w:val="000000" w:themeColor="text1"/>
          <w:sz w:val="22"/>
          <w:szCs w:val="22"/>
        </w:rPr>
        <w:t xml:space="preserve">  </w:t>
      </w:r>
    </w:p>
    <w:p w14:paraId="543A6A23" w14:textId="2DF29082" w:rsidR="00DE14C6" w:rsidRDefault="7BF71DB1"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1.4 </w:t>
      </w:r>
      <w:r w:rsidR="00DE14C6" w:rsidRPr="632F70E4">
        <w:rPr>
          <w:rFonts w:asciiTheme="minorHAnsi" w:hAnsiTheme="minorHAnsi" w:cstheme="minorBidi"/>
          <w:sz w:val="22"/>
          <w:szCs w:val="22"/>
        </w:rPr>
        <w:t>WHEREAS:</w:t>
      </w:r>
      <w:r w:rsidR="00DE14C6" w:rsidRPr="69C97621">
        <w:rPr>
          <w:rFonts w:ascii="Calibri" w:eastAsia="Calibri" w:hAnsi="Calibri" w:cs="Calibri"/>
          <w:color w:val="000000" w:themeColor="text1"/>
          <w:sz w:val="22"/>
          <w:szCs w:val="22"/>
        </w:rPr>
        <w:t xml:space="preserve"> using transparent, consistent criteria helps ensure faculty know what they’re being </w:t>
      </w:r>
      <w:proofErr w:type="gramStart"/>
      <w:r w:rsidR="00DE14C6" w:rsidRPr="69C97621">
        <w:rPr>
          <w:rFonts w:ascii="Calibri" w:eastAsia="Calibri" w:hAnsi="Calibri" w:cs="Calibri"/>
          <w:color w:val="000000" w:themeColor="text1"/>
          <w:sz w:val="22"/>
          <w:szCs w:val="22"/>
        </w:rPr>
        <w:t>evaluated</w:t>
      </w:r>
      <w:proofErr w:type="gramEnd"/>
      <w:r w:rsidR="00DE14C6" w:rsidRPr="69C97621">
        <w:rPr>
          <w:rFonts w:ascii="Calibri" w:eastAsia="Calibri" w:hAnsi="Calibri" w:cs="Calibri"/>
          <w:color w:val="000000" w:themeColor="text1"/>
          <w:sz w:val="22"/>
          <w:szCs w:val="22"/>
        </w:rPr>
        <w:t xml:space="preserve"> on and give</w:t>
      </w:r>
      <w:r w:rsidR="00993AB0">
        <w:rPr>
          <w:rFonts w:ascii="Calibri" w:eastAsia="Calibri" w:hAnsi="Calibri" w:cs="Calibri"/>
          <w:color w:val="000000" w:themeColor="text1"/>
          <w:sz w:val="22"/>
          <w:szCs w:val="22"/>
        </w:rPr>
        <w:t>s</w:t>
      </w:r>
      <w:r w:rsidR="00DE14C6" w:rsidRPr="69C97621">
        <w:rPr>
          <w:rFonts w:ascii="Calibri" w:eastAsia="Calibri" w:hAnsi="Calibri" w:cs="Calibri"/>
          <w:color w:val="000000" w:themeColor="text1"/>
          <w:sz w:val="22"/>
          <w:szCs w:val="22"/>
        </w:rPr>
        <w:t xml:space="preserve"> them an opportunity to work toward those goals;  </w:t>
      </w:r>
    </w:p>
    <w:p w14:paraId="72ABA5AD" w14:textId="77777777" w:rsidR="00CD7DBB" w:rsidRDefault="00CD7DBB" w:rsidP="009157C3">
      <w:pPr>
        <w:rPr>
          <w:rFonts w:asciiTheme="minorHAnsi" w:hAnsiTheme="minorHAnsi" w:cstheme="minorBidi"/>
          <w:sz w:val="22"/>
          <w:szCs w:val="22"/>
        </w:rPr>
      </w:pPr>
    </w:p>
    <w:p w14:paraId="3B53B243" w14:textId="0AF3EF24" w:rsidR="30684CE0" w:rsidRDefault="73140F16" w:rsidP="30684CE0">
      <w:pPr>
        <w:rPr>
          <w:rFonts w:ascii="Calibri" w:eastAsia="Calibri" w:hAnsi="Calibri" w:cs="Calibri"/>
          <w:color w:val="000000" w:themeColor="text1"/>
          <w:sz w:val="22"/>
          <w:szCs w:val="22"/>
        </w:rPr>
      </w:pPr>
      <w:r w:rsidRPr="43446ACC">
        <w:rPr>
          <w:rFonts w:asciiTheme="minorHAnsi" w:hAnsiTheme="minorHAnsi" w:cstheme="minorBidi"/>
          <w:sz w:val="22"/>
          <w:szCs w:val="22"/>
        </w:rPr>
        <w:t xml:space="preserve">1.5 </w:t>
      </w:r>
      <w:r w:rsidR="00DE14C6" w:rsidRPr="43446ACC">
        <w:rPr>
          <w:rFonts w:asciiTheme="minorHAnsi" w:hAnsiTheme="minorHAnsi" w:cstheme="minorBidi"/>
          <w:sz w:val="22"/>
          <w:szCs w:val="22"/>
        </w:rPr>
        <w:t xml:space="preserve">WHEREAS: </w:t>
      </w:r>
      <w:r w:rsidR="1FE6E3DB" w:rsidRPr="43446ACC">
        <w:rPr>
          <w:rFonts w:asciiTheme="minorHAnsi" w:hAnsiTheme="minorHAnsi" w:cstheme="minorBidi"/>
          <w:sz w:val="22"/>
          <w:szCs w:val="22"/>
        </w:rPr>
        <w:t>professional,</w:t>
      </w:r>
      <w:r w:rsidR="00DE14C6" w:rsidRPr="43446ACC">
        <w:rPr>
          <w:rFonts w:asciiTheme="minorHAnsi" w:hAnsiTheme="minorHAnsi" w:cstheme="minorBidi"/>
          <w:sz w:val="22"/>
          <w:szCs w:val="22"/>
        </w:rPr>
        <w:t xml:space="preserve"> </w:t>
      </w:r>
      <w:r w:rsidR="06447571" w:rsidRPr="43446ACC">
        <w:rPr>
          <w:rFonts w:ascii="Calibri" w:eastAsia="Calibri" w:hAnsi="Calibri" w:cs="Calibri"/>
          <w:color w:val="000000" w:themeColor="text1"/>
          <w:sz w:val="22"/>
          <w:szCs w:val="22"/>
        </w:rPr>
        <w:t>inclusive, engaged in reflective practice and change over time, and research-informed teach</w:t>
      </w:r>
      <w:r w:rsidR="418EF18A" w:rsidRPr="43446ACC">
        <w:rPr>
          <w:rFonts w:ascii="Calibri" w:eastAsia="Calibri" w:hAnsi="Calibri" w:cs="Calibri"/>
          <w:color w:val="000000" w:themeColor="text1"/>
          <w:sz w:val="22"/>
          <w:szCs w:val="22"/>
        </w:rPr>
        <w:t xml:space="preserve">ing </w:t>
      </w:r>
      <w:r w:rsidR="00781F98">
        <w:rPr>
          <w:rFonts w:ascii="Calibri" w:eastAsia="Calibri" w:hAnsi="Calibri" w:cs="Calibri"/>
          <w:color w:val="000000" w:themeColor="text1"/>
          <w:sz w:val="22"/>
          <w:szCs w:val="22"/>
        </w:rPr>
        <w:t xml:space="preserve">standards </w:t>
      </w:r>
      <w:r w:rsidR="044BB4B4" w:rsidRPr="43446ACC">
        <w:rPr>
          <w:rFonts w:ascii="Calibri" w:eastAsia="Calibri" w:hAnsi="Calibri" w:cs="Calibri"/>
          <w:color w:val="000000" w:themeColor="text1"/>
          <w:sz w:val="22"/>
          <w:szCs w:val="22"/>
        </w:rPr>
        <w:t>(</w:t>
      </w:r>
      <w:r w:rsidR="0A13E4E9" w:rsidRPr="43446ACC">
        <w:rPr>
          <w:rFonts w:ascii="Calibri" w:eastAsia="Calibri" w:hAnsi="Calibri" w:cs="Calibri"/>
          <w:color w:val="000000" w:themeColor="text1"/>
          <w:sz w:val="22"/>
          <w:szCs w:val="22"/>
        </w:rPr>
        <w:t xml:space="preserve">as used </w:t>
      </w:r>
      <w:r w:rsidR="6EDD524F" w:rsidRPr="43446ACC">
        <w:rPr>
          <w:rFonts w:ascii="Calibri" w:eastAsia="Calibri" w:hAnsi="Calibri" w:cs="Calibri"/>
          <w:color w:val="000000" w:themeColor="text1"/>
          <w:sz w:val="22"/>
          <w:szCs w:val="22"/>
        </w:rPr>
        <w:t xml:space="preserve">by the </w:t>
      </w:r>
      <w:r w:rsidR="22E2D680" w:rsidRPr="43446ACC">
        <w:rPr>
          <w:rFonts w:ascii="Calibri" w:eastAsia="Calibri" w:hAnsi="Calibri" w:cs="Calibri"/>
          <w:color w:val="000000" w:themeColor="text1"/>
          <w:sz w:val="22"/>
          <w:szCs w:val="22"/>
        </w:rPr>
        <w:t>Senate’s Continuous Improvement and Evaluation of Teaching Committee</w:t>
      </w:r>
      <w:r w:rsidR="00130C01" w:rsidRPr="43446ACC">
        <w:rPr>
          <w:rFonts w:ascii="Calibri" w:eastAsia="Calibri" w:hAnsi="Calibri" w:cs="Calibri"/>
          <w:color w:val="000000" w:themeColor="text1"/>
          <w:sz w:val="22"/>
          <w:szCs w:val="22"/>
        </w:rPr>
        <w:t xml:space="preserve">, </w:t>
      </w:r>
      <w:r w:rsidR="788A139E" w:rsidRPr="43446ACC">
        <w:rPr>
          <w:rFonts w:ascii="Calibri" w:eastAsia="Calibri" w:hAnsi="Calibri" w:cs="Calibri"/>
          <w:color w:val="000000" w:themeColor="text1"/>
          <w:sz w:val="22"/>
          <w:szCs w:val="22"/>
        </w:rPr>
        <w:t xml:space="preserve">promotion and tenure committees, </w:t>
      </w:r>
      <w:r w:rsidR="000A26A9" w:rsidRPr="43446ACC">
        <w:rPr>
          <w:rFonts w:ascii="Calibri" w:eastAsia="Calibri" w:hAnsi="Calibri" w:cs="Calibri"/>
          <w:color w:val="000000" w:themeColor="text1"/>
          <w:sz w:val="22"/>
          <w:szCs w:val="22"/>
        </w:rPr>
        <w:t xml:space="preserve">the </w:t>
      </w:r>
      <w:r w:rsidR="004911B1" w:rsidRPr="43446ACC">
        <w:rPr>
          <w:rFonts w:ascii="Calibri" w:eastAsia="Calibri" w:hAnsi="Calibri" w:cs="Calibri"/>
          <w:color w:val="000000" w:themeColor="text1"/>
          <w:sz w:val="22"/>
          <w:szCs w:val="22"/>
        </w:rPr>
        <w:t>Teaching Engagement Program</w:t>
      </w:r>
      <w:r w:rsidR="4D8C6888" w:rsidRPr="43446ACC">
        <w:rPr>
          <w:rFonts w:ascii="Calibri" w:eastAsia="Calibri" w:hAnsi="Calibri" w:cs="Calibri"/>
          <w:color w:val="000000" w:themeColor="text1"/>
          <w:sz w:val="22"/>
          <w:szCs w:val="22"/>
        </w:rPr>
        <w:t>,</w:t>
      </w:r>
      <w:r w:rsidR="00DE14C6" w:rsidRPr="43446ACC">
        <w:rPr>
          <w:rFonts w:ascii="Calibri" w:eastAsia="Calibri" w:hAnsi="Calibri" w:cs="Calibri"/>
          <w:color w:val="000000" w:themeColor="text1"/>
          <w:sz w:val="22"/>
          <w:szCs w:val="22"/>
        </w:rPr>
        <w:t xml:space="preserve"> the Provost’s Teaching Academy</w:t>
      </w:r>
      <w:r w:rsidR="24FE9027" w:rsidRPr="43446ACC">
        <w:rPr>
          <w:rFonts w:ascii="Calibri" w:eastAsia="Calibri" w:hAnsi="Calibri" w:cs="Calibri"/>
          <w:color w:val="000000" w:themeColor="text1"/>
          <w:sz w:val="22"/>
          <w:szCs w:val="22"/>
        </w:rPr>
        <w:t xml:space="preserve">, </w:t>
      </w:r>
      <w:r w:rsidR="2ADB496E" w:rsidRPr="43446ACC">
        <w:rPr>
          <w:rFonts w:ascii="Calibri" w:eastAsia="Calibri" w:hAnsi="Calibri" w:cs="Calibri"/>
          <w:color w:val="000000" w:themeColor="text1"/>
          <w:sz w:val="22"/>
          <w:szCs w:val="22"/>
        </w:rPr>
        <w:t xml:space="preserve">UO </w:t>
      </w:r>
      <w:r w:rsidR="413BE6F2" w:rsidRPr="43446ACC">
        <w:rPr>
          <w:rFonts w:ascii="Calibri" w:eastAsia="Calibri" w:hAnsi="Calibri" w:cs="Calibri"/>
          <w:color w:val="000000" w:themeColor="text1"/>
          <w:sz w:val="22"/>
          <w:szCs w:val="22"/>
        </w:rPr>
        <w:t xml:space="preserve">teaching awards committees, </w:t>
      </w:r>
      <w:r w:rsidR="24FE9027" w:rsidRPr="43446ACC">
        <w:rPr>
          <w:rFonts w:ascii="Calibri" w:eastAsia="Calibri" w:hAnsi="Calibri" w:cs="Calibri"/>
          <w:color w:val="000000" w:themeColor="text1"/>
          <w:sz w:val="22"/>
          <w:szCs w:val="22"/>
        </w:rPr>
        <w:t>etc.)</w:t>
      </w:r>
      <w:r w:rsidR="00DE14C6" w:rsidRPr="43446ACC">
        <w:rPr>
          <w:rFonts w:ascii="Calibri" w:eastAsia="Calibri" w:hAnsi="Calibri" w:cs="Calibri"/>
          <w:color w:val="000000" w:themeColor="text1"/>
          <w:sz w:val="22"/>
          <w:szCs w:val="22"/>
        </w:rPr>
        <w:t xml:space="preserve"> </w:t>
      </w:r>
      <w:r w:rsidR="040B00E3" w:rsidRPr="43446ACC">
        <w:rPr>
          <w:rFonts w:ascii="Calibri" w:eastAsia="Calibri" w:hAnsi="Calibri" w:cs="Calibri"/>
          <w:color w:val="000000" w:themeColor="text1"/>
          <w:sz w:val="22"/>
          <w:szCs w:val="22"/>
        </w:rPr>
        <w:t>are in use</w:t>
      </w:r>
      <w:r w:rsidR="5E7404CA" w:rsidRPr="43446ACC">
        <w:rPr>
          <w:rFonts w:ascii="Calibri" w:eastAsia="Calibri" w:hAnsi="Calibri" w:cs="Calibri"/>
          <w:color w:val="000000" w:themeColor="text1"/>
          <w:sz w:val="22"/>
          <w:szCs w:val="22"/>
        </w:rPr>
        <w:t xml:space="preserve"> </w:t>
      </w:r>
      <w:r w:rsidR="2FB73A29" w:rsidRPr="43446ACC">
        <w:rPr>
          <w:rFonts w:ascii="Calibri" w:eastAsia="Calibri" w:hAnsi="Calibri" w:cs="Calibri"/>
          <w:color w:val="000000" w:themeColor="text1"/>
          <w:sz w:val="22"/>
          <w:szCs w:val="22"/>
        </w:rPr>
        <w:t>at UO</w:t>
      </w:r>
      <w:r w:rsidR="040B00E3" w:rsidRPr="43446ACC">
        <w:rPr>
          <w:rFonts w:ascii="Calibri" w:eastAsia="Calibri" w:hAnsi="Calibri" w:cs="Calibri"/>
          <w:color w:val="000000" w:themeColor="text1"/>
          <w:sz w:val="22"/>
          <w:szCs w:val="22"/>
        </w:rPr>
        <w:t xml:space="preserve"> </w:t>
      </w:r>
      <w:r w:rsidR="6653FFFA" w:rsidRPr="43446ACC">
        <w:rPr>
          <w:rFonts w:ascii="Calibri" w:eastAsia="Calibri" w:hAnsi="Calibri" w:cs="Calibri"/>
          <w:color w:val="000000" w:themeColor="text1"/>
          <w:sz w:val="22"/>
          <w:szCs w:val="22"/>
        </w:rPr>
        <w:t>to</w:t>
      </w:r>
      <w:r w:rsidR="040B00E3" w:rsidRPr="43446ACC">
        <w:rPr>
          <w:rFonts w:ascii="Calibri" w:eastAsia="Calibri" w:hAnsi="Calibri" w:cs="Calibri"/>
          <w:color w:val="000000" w:themeColor="text1"/>
          <w:sz w:val="22"/>
          <w:szCs w:val="22"/>
        </w:rPr>
        <w:t xml:space="preserve"> </w:t>
      </w:r>
      <w:r w:rsidR="21533921" w:rsidRPr="43446ACC">
        <w:rPr>
          <w:rFonts w:ascii="Calibri" w:eastAsia="Calibri" w:hAnsi="Calibri" w:cs="Calibri"/>
          <w:color w:val="000000" w:themeColor="text1"/>
          <w:sz w:val="22"/>
          <w:szCs w:val="22"/>
        </w:rPr>
        <w:t>de</w:t>
      </w:r>
      <w:r w:rsidR="10D82DAB" w:rsidRPr="43446ACC">
        <w:rPr>
          <w:rFonts w:ascii="Calibri" w:eastAsia="Calibri" w:hAnsi="Calibri" w:cs="Calibri"/>
          <w:color w:val="000000" w:themeColor="text1"/>
          <w:sz w:val="22"/>
          <w:szCs w:val="22"/>
        </w:rPr>
        <w:t>scribe</w:t>
      </w:r>
      <w:r w:rsidR="21533921" w:rsidRPr="43446ACC">
        <w:rPr>
          <w:rFonts w:ascii="Calibri" w:eastAsia="Calibri" w:hAnsi="Calibri" w:cs="Calibri"/>
          <w:color w:val="000000" w:themeColor="text1"/>
          <w:sz w:val="22"/>
          <w:szCs w:val="22"/>
        </w:rPr>
        <w:t xml:space="preserve"> quality teaching</w:t>
      </w:r>
      <w:r w:rsidR="00DE14C6" w:rsidRPr="43446ACC">
        <w:rPr>
          <w:rFonts w:ascii="Calibri" w:eastAsia="Calibri" w:hAnsi="Calibri" w:cs="Calibri"/>
          <w:color w:val="000000" w:themeColor="text1"/>
          <w:sz w:val="22"/>
          <w:szCs w:val="22"/>
        </w:rPr>
        <w:t>, and myriad faculty practices can be described by these broad but meaningful standards</w:t>
      </w:r>
      <w:r w:rsidR="008B3B58" w:rsidRPr="43446ACC">
        <w:rPr>
          <w:rFonts w:ascii="Calibri" w:eastAsia="Calibri" w:hAnsi="Calibri" w:cs="Calibri"/>
          <w:color w:val="000000" w:themeColor="text1"/>
          <w:sz w:val="22"/>
          <w:szCs w:val="22"/>
        </w:rPr>
        <w:t xml:space="preserve"> (see attached for Teaching Evaluation Criteria</w:t>
      </w:r>
      <w:r w:rsidR="3AF590E8" w:rsidRPr="43446ACC">
        <w:rPr>
          <w:rFonts w:ascii="Calibri" w:eastAsia="Calibri" w:hAnsi="Calibri" w:cs="Calibri"/>
          <w:color w:val="000000" w:themeColor="text1"/>
          <w:sz w:val="22"/>
          <w:szCs w:val="22"/>
        </w:rPr>
        <w:t>)</w:t>
      </w:r>
      <w:r w:rsidR="00DE14C6" w:rsidRPr="43446ACC">
        <w:rPr>
          <w:rFonts w:ascii="Calibri" w:eastAsia="Calibri" w:hAnsi="Calibri" w:cs="Calibri"/>
          <w:color w:val="000000" w:themeColor="text1"/>
          <w:sz w:val="22"/>
          <w:szCs w:val="22"/>
        </w:rPr>
        <w:t xml:space="preserve">;  </w:t>
      </w:r>
    </w:p>
    <w:p w14:paraId="3285E19E" w14:textId="1EE17AD5" w:rsidR="00DE14C6" w:rsidRDefault="00DE14C6" w:rsidP="00DE14C6">
      <w:pPr>
        <w:rPr>
          <w:rFonts w:ascii="Calibri" w:eastAsia="Calibri" w:hAnsi="Calibri" w:cs="Calibri"/>
          <w:color w:val="000000" w:themeColor="text1"/>
          <w:sz w:val="22"/>
          <w:szCs w:val="22"/>
        </w:rPr>
      </w:pPr>
      <w:r w:rsidRPr="69C97621">
        <w:rPr>
          <w:rFonts w:ascii="Calibri" w:eastAsia="Calibri" w:hAnsi="Calibri" w:cs="Calibri"/>
          <w:color w:val="000000" w:themeColor="text1"/>
          <w:sz w:val="22"/>
          <w:szCs w:val="22"/>
        </w:rPr>
        <w:t xml:space="preserve">    </w:t>
      </w:r>
    </w:p>
    <w:p w14:paraId="552D296A" w14:textId="6210B8CC" w:rsidR="00DE14C6" w:rsidRDefault="47669164" w:rsidP="00DE14C6">
      <w:pPr>
        <w:rPr>
          <w:rFonts w:ascii="Calibri" w:eastAsia="Calibri" w:hAnsi="Calibri" w:cs="Calibri"/>
          <w:color w:val="000000" w:themeColor="text1"/>
          <w:sz w:val="22"/>
          <w:szCs w:val="22"/>
        </w:rPr>
      </w:pPr>
      <w:r w:rsidRPr="632F70E4">
        <w:rPr>
          <w:rFonts w:asciiTheme="minorHAnsi" w:hAnsiTheme="minorHAnsi" w:cstheme="minorBidi"/>
          <w:sz w:val="22"/>
          <w:szCs w:val="22"/>
        </w:rPr>
        <w:t xml:space="preserve">1.6 </w:t>
      </w:r>
      <w:r w:rsidR="00DE14C6" w:rsidRPr="632F70E4">
        <w:rPr>
          <w:rFonts w:asciiTheme="minorHAnsi" w:hAnsiTheme="minorHAnsi" w:cstheme="minorBidi"/>
          <w:sz w:val="22"/>
          <w:szCs w:val="22"/>
        </w:rPr>
        <w:t xml:space="preserve">WHEREAS: </w:t>
      </w:r>
      <w:r w:rsidR="00DE14C6" w:rsidRPr="69C97621">
        <w:rPr>
          <w:rFonts w:ascii="Calibri" w:eastAsia="Calibri" w:hAnsi="Calibri" w:cs="Calibri"/>
          <w:color w:val="000000" w:themeColor="text1"/>
          <w:sz w:val="22"/>
          <w:szCs w:val="22"/>
        </w:rPr>
        <w:t>these standards make it possible to organize faculty and student comments by these standards and look at qualitative evidence aligned to standards rather than numerical rankings that compare faculty to one another through departmental and university means</w:t>
      </w:r>
      <w:r w:rsidR="00B362FF">
        <w:rPr>
          <w:rFonts w:ascii="Calibri" w:eastAsia="Calibri" w:hAnsi="Calibri" w:cs="Calibri"/>
          <w:color w:val="000000" w:themeColor="text1"/>
          <w:sz w:val="22"/>
          <w:szCs w:val="22"/>
        </w:rPr>
        <w:t xml:space="preserve"> which are often fraught with bias</w:t>
      </w:r>
      <w:r w:rsidR="00DE14C6" w:rsidRPr="69C97621">
        <w:rPr>
          <w:rFonts w:ascii="Calibri" w:eastAsia="Calibri" w:hAnsi="Calibri" w:cs="Calibri"/>
          <w:color w:val="000000" w:themeColor="text1"/>
          <w:sz w:val="22"/>
          <w:szCs w:val="22"/>
        </w:rPr>
        <w:t xml:space="preserve">;  </w:t>
      </w:r>
    </w:p>
    <w:p w14:paraId="409A9822" w14:textId="77777777" w:rsidR="00DE14C6" w:rsidRDefault="00DE14C6" w:rsidP="00DE14C6">
      <w:pPr>
        <w:rPr>
          <w:rFonts w:ascii="Calibri" w:eastAsia="Calibri" w:hAnsi="Calibri" w:cs="Calibri"/>
          <w:color w:val="000000" w:themeColor="text1"/>
          <w:sz w:val="22"/>
          <w:szCs w:val="22"/>
        </w:rPr>
      </w:pPr>
    </w:p>
    <w:p w14:paraId="05CB14EA" w14:textId="028A6EBA" w:rsidR="00DE14C6" w:rsidRDefault="00DE14C6" w:rsidP="00DE14C6">
      <w:pPr>
        <w:rPr>
          <w:rFonts w:ascii="Calibri" w:eastAsia="Calibri" w:hAnsi="Calibri" w:cs="Calibri"/>
          <w:b/>
          <w:color w:val="000000" w:themeColor="text1"/>
          <w:sz w:val="22"/>
          <w:szCs w:val="22"/>
        </w:rPr>
      </w:pPr>
      <w:r w:rsidRPr="541CE20C">
        <w:rPr>
          <w:rFonts w:ascii="Calibri" w:eastAsia="Calibri" w:hAnsi="Calibri" w:cs="Calibri"/>
          <w:b/>
          <w:color w:val="000000" w:themeColor="text1"/>
          <w:sz w:val="22"/>
          <w:szCs w:val="22"/>
        </w:rPr>
        <w:t>Section II</w:t>
      </w:r>
    </w:p>
    <w:p w14:paraId="13C6872D" w14:textId="423C8644" w:rsidR="00CA2D7A" w:rsidRDefault="00CA2D7A" w:rsidP="00DE14C6">
      <w:pPr>
        <w:rPr>
          <w:rFonts w:ascii="Calibri" w:eastAsia="Calibri" w:hAnsi="Calibri" w:cs="Calibri"/>
          <w:b/>
          <w:color w:val="000000" w:themeColor="text1"/>
          <w:sz w:val="22"/>
          <w:szCs w:val="22"/>
        </w:rPr>
      </w:pPr>
    </w:p>
    <w:p w14:paraId="0A01EC11" w14:textId="77777777" w:rsidR="00CA2D7A" w:rsidRPr="00CA2D7A" w:rsidRDefault="00CA2D7A" w:rsidP="00CA2D7A">
      <w:pPr>
        <w:rPr>
          <w:rFonts w:asciiTheme="minorHAnsi" w:eastAsia="Calibri" w:hAnsiTheme="minorHAnsi" w:cstheme="minorHAnsi"/>
          <w:color w:val="000000" w:themeColor="text1"/>
          <w:sz w:val="22"/>
          <w:szCs w:val="22"/>
        </w:rPr>
      </w:pPr>
      <w:r w:rsidRPr="00CA2D7A">
        <w:rPr>
          <w:rFonts w:asciiTheme="minorHAnsi" w:eastAsia="Calibri" w:hAnsiTheme="minorHAnsi" w:cstheme="minorHAnsi"/>
          <w:color w:val="000000" w:themeColor="text1"/>
          <w:sz w:val="22"/>
          <w:szCs w:val="22"/>
        </w:rPr>
        <w:t xml:space="preserve">2.1 THEREFORE BE IT MOVED: that the University Senate </w:t>
      </w:r>
      <w:r>
        <w:rPr>
          <w:rFonts w:asciiTheme="minorHAnsi" w:eastAsia="Calibri" w:hAnsiTheme="minorHAnsi" w:cstheme="minorHAnsi"/>
          <w:color w:val="000000" w:themeColor="text1"/>
          <w:sz w:val="22"/>
          <w:szCs w:val="22"/>
        </w:rPr>
        <w:t>endorses</w:t>
      </w:r>
      <w:r w:rsidRPr="00CA2D7A">
        <w:rPr>
          <w:rFonts w:asciiTheme="minorHAnsi" w:eastAsia="Calibri" w:hAnsiTheme="minorHAnsi" w:cstheme="minorHAnsi"/>
          <w:color w:val="000000" w:themeColor="text1"/>
          <w:sz w:val="22"/>
          <w:szCs w:val="22"/>
        </w:rPr>
        <w:t xml:space="preserve"> a framework for teaching evaluation whereby: </w:t>
      </w:r>
    </w:p>
    <w:p w14:paraId="06C9F9B5" w14:textId="77777777" w:rsidR="00CA2D7A" w:rsidRPr="00CA2D7A" w:rsidRDefault="00CA2D7A" w:rsidP="00CA2D7A">
      <w:pPr>
        <w:rPr>
          <w:rFonts w:asciiTheme="minorHAnsi" w:eastAsia="Calibri" w:hAnsiTheme="minorHAnsi" w:cstheme="minorHAnsi"/>
          <w:color w:val="000000" w:themeColor="text1"/>
          <w:sz w:val="22"/>
          <w:szCs w:val="22"/>
        </w:rPr>
      </w:pPr>
    </w:p>
    <w:p w14:paraId="0D7D4AB5" w14:textId="77777777" w:rsidR="00CA2D7A" w:rsidRPr="00033B16" w:rsidRDefault="00CA2D7A" w:rsidP="00CA2D7A">
      <w:pPr>
        <w:rPr>
          <w:rFonts w:asciiTheme="minorHAnsi" w:eastAsiaTheme="minorEastAsia" w:hAnsiTheme="minorHAnsi" w:cstheme="minorHAnsi"/>
          <w:color w:val="000000" w:themeColor="text1"/>
          <w:sz w:val="22"/>
          <w:szCs w:val="22"/>
        </w:rPr>
      </w:pPr>
      <w:r w:rsidRPr="00CA2D7A">
        <w:rPr>
          <w:rFonts w:asciiTheme="minorHAnsi" w:eastAsia="Calibri" w:hAnsiTheme="minorHAnsi" w:cstheme="minorHAnsi"/>
          <w:color w:val="000000" w:themeColor="text1"/>
          <w:sz w:val="22"/>
          <w:szCs w:val="22"/>
        </w:rPr>
        <w:t>Teaching evaluations are defined as the formal review process (including for promotion and tenure) in which evidence from multiple sources (including peers, students, and instructors themselves) is assessed for each of the standards of professional, inclusive, engaged and research-informed teaching in order to make judgements of faculty teaching quality.</w:t>
      </w:r>
    </w:p>
    <w:p w14:paraId="1AA7ACD7"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D9E7897"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CA2D7A">
        <w:rPr>
          <w:rStyle w:val="normaltextrun"/>
          <w:rFonts w:asciiTheme="minorHAnsi" w:hAnsiTheme="minorHAnsi" w:cstheme="minorHAnsi"/>
          <w:color w:val="000000"/>
          <w:sz w:val="22"/>
          <w:szCs w:val="22"/>
        </w:rPr>
        <w:t>2.2 BE IT FURTHER MOVED THAT:</w:t>
      </w:r>
      <w:r w:rsidRPr="00CA2D7A">
        <w:rPr>
          <w:rStyle w:val="eop"/>
          <w:rFonts w:asciiTheme="minorHAnsi" w:hAnsiTheme="minorHAnsi" w:cstheme="minorHAnsi"/>
          <w:color w:val="000000"/>
          <w:sz w:val="22"/>
          <w:szCs w:val="22"/>
        </w:rPr>
        <w:t> </w:t>
      </w:r>
      <w:r w:rsidRPr="00CA2D7A">
        <w:rPr>
          <w:rStyle w:val="normaltextrun"/>
          <w:rFonts w:asciiTheme="minorHAnsi" w:hAnsiTheme="minorHAnsi" w:cstheme="minorHAnsi"/>
          <w:color w:val="000000"/>
          <w:sz w:val="22"/>
          <w:szCs w:val="22"/>
        </w:rPr>
        <w:t xml:space="preserve"> </w:t>
      </w:r>
    </w:p>
    <w:p w14:paraId="33851372"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normaltextrun"/>
          <w:rFonts w:asciiTheme="minorHAnsi" w:hAnsiTheme="minorHAnsi" w:cstheme="minorHAnsi"/>
          <w:color w:val="000000"/>
          <w:sz w:val="22"/>
          <w:szCs w:val="22"/>
        </w:rPr>
        <w:t xml:space="preserve">The University Senate </w:t>
      </w:r>
      <w:r>
        <w:rPr>
          <w:rStyle w:val="normaltextrun"/>
          <w:rFonts w:asciiTheme="minorHAnsi" w:hAnsiTheme="minorHAnsi" w:cstheme="minorHAnsi"/>
          <w:color w:val="000000"/>
          <w:sz w:val="22"/>
          <w:szCs w:val="22"/>
        </w:rPr>
        <w:t>recognizes</w:t>
      </w:r>
      <w:r w:rsidRPr="00CA2D7A">
        <w:rPr>
          <w:rStyle w:val="normaltextrun"/>
          <w:rFonts w:asciiTheme="minorHAnsi" w:hAnsiTheme="minorHAnsi" w:cstheme="minorHAnsi"/>
          <w:color w:val="000000"/>
          <w:sz w:val="22"/>
          <w:szCs w:val="22"/>
        </w:rPr>
        <w:t xml:space="preserve"> that the appended Teaching Evaluation Criteria document </w:t>
      </w:r>
      <w:r>
        <w:rPr>
          <w:rStyle w:val="normaltextrun"/>
          <w:rFonts w:asciiTheme="minorHAnsi" w:hAnsiTheme="minorHAnsi" w:cstheme="minorHAnsi"/>
          <w:color w:val="000000"/>
          <w:sz w:val="22"/>
          <w:szCs w:val="22"/>
        </w:rPr>
        <w:t>operationalizes</w:t>
      </w:r>
      <w:r w:rsidRPr="00CA2D7A">
        <w:rPr>
          <w:rStyle w:val="normaltextrun"/>
          <w:rFonts w:asciiTheme="minorHAnsi" w:hAnsiTheme="minorHAnsi" w:cstheme="minorHAnsi"/>
          <w:color w:val="000000"/>
          <w:sz w:val="22"/>
          <w:szCs w:val="22"/>
        </w:rPr>
        <w:t xml:space="preserve"> the </w:t>
      </w:r>
      <w:r>
        <w:rPr>
          <w:rStyle w:val="normaltextrun"/>
          <w:rFonts w:asciiTheme="minorHAnsi" w:hAnsiTheme="minorHAnsi" w:cstheme="minorHAnsi"/>
          <w:color w:val="000000"/>
          <w:sz w:val="22"/>
          <w:szCs w:val="22"/>
        </w:rPr>
        <w:t xml:space="preserve">university’s </w:t>
      </w:r>
      <w:r w:rsidRPr="00CA2D7A">
        <w:rPr>
          <w:rStyle w:val="normaltextrun"/>
          <w:rFonts w:asciiTheme="minorHAnsi" w:hAnsiTheme="minorHAnsi" w:cstheme="minorHAnsi"/>
          <w:color w:val="000000"/>
          <w:sz w:val="22"/>
          <w:szCs w:val="22"/>
        </w:rPr>
        <w:t>teaching evaluation protocol</w:t>
      </w:r>
      <w:r>
        <w:rPr>
          <w:rStyle w:val="normaltextrun"/>
          <w:rFonts w:asciiTheme="minorHAnsi" w:hAnsiTheme="minorHAnsi" w:cstheme="minorHAnsi"/>
          <w:color w:val="000000"/>
          <w:sz w:val="22"/>
          <w:szCs w:val="22"/>
        </w:rPr>
        <w:t>.</w:t>
      </w:r>
    </w:p>
    <w:p w14:paraId="1347C70C"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eop"/>
          <w:rFonts w:asciiTheme="minorHAnsi" w:hAnsiTheme="minorHAnsi" w:cstheme="minorHAnsi"/>
          <w:color w:val="000000"/>
          <w:sz w:val="22"/>
          <w:szCs w:val="22"/>
        </w:rPr>
        <w:t> </w:t>
      </w:r>
    </w:p>
    <w:p w14:paraId="43ABC78A" w14:textId="77777777" w:rsidR="00CA2D7A" w:rsidRPr="00CA2D7A"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CA2D7A">
        <w:rPr>
          <w:rStyle w:val="normaltextrun"/>
          <w:rFonts w:asciiTheme="minorHAnsi" w:hAnsiTheme="minorHAnsi" w:cstheme="minorHAnsi"/>
          <w:color w:val="000000"/>
          <w:sz w:val="22"/>
          <w:szCs w:val="22"/>
        </w:rPr>
        <w:lastRenderedPageBreak/>
        <w:t>2.3 BE IT FURTHER MOVED THAT:</w:t>
      </w:r>
      <w:r w:rsidRPr="00CA2D7A">
        <w:rPr>
          <w:rStyle w:val="eop"/>
          <w:rFonts w:asciiTheme="minorHAnsi" w:hAnsiTheme="minorHAnsi" w:cstheme="minorHAnsi"/>
          <w:color w:val="000000"/>
          <w:sz w:val="22"/>
          <w:szCs w:val="22"/>
        </w:rPr>
        <w:t> </w:t>
      </w:r>
    </w:p>
    <w:p w14:paraId="3012CB1B"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CA2D7A">
        <w:rPr>
          <w:rStyle w:val="eop"/>
          <w:rFonts w:asciiTheme="minorHAnsi" w:hAnsiTheme="minorHAnsi" w:cstheme="minorHAnsi"/>
          <w:color w:val="000000"/>
          <w:sz w:val="22"/>
          <w:szCs w:val="22"/>
        </w:rPr>
        <w:t>Academic units are encouraged (but not required) to make the following types of modifications to the Teaching Evaluation Criteria document:</w:t>
      </w:r>
    </w:p>
    <w:p w14:paraId="5C0699B5"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 xml:space="preserve">language that reflects the unique disciplinary or professional culture of the unit; </w:t>
      </w:r>
    </w:p>
    <w:p w14:paraId="044398DD"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additions to the standards;</w:t>
      </w:r>
    </w:p>
    <w:p w14:paraId="304BFD2D"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greater specificity about what meets, exceeds, or does not meet expectations;</w:t>
      </w:r>
    </w:p>
    <w:p w14:paraId="6E3C653C" w14:textId="77777777" w:rsidR="00CA2D7A" w:rsidRPr="00CA2D7A" w:rsidRDefault="00CA2D7A" w:rsidP="00CA2D7A">
      <w:pPr>
        <w:pStyle w:val="ListParagraph"/>
        <w:numPr>
          <w:ilvl w:val="0"/>
          <w:numId w:val="3"/>
        </w:numPr>
        <w:ind w:left="720"/>
        <w:rPr>
          <w:rFonts w:asciiTheme="minorHAnsi" w:hAnsiTheme="minorHAnsi" w:cstheme="minorHAnsi"/>
          <w:sz w:val="22"/>
          <w:szCs w:val="22"/>
        </w:rPr>
      </w:pPr>
      <w:r w:rsidRPr="00CA2D7A">
        <w:rPr>
          <w:rFonts w:asciiTheme="minorHAnsi" w:hAnsiTheme="minorHAnsi" w:cstheme="minorHAnsi"/>
          <w:sz w:val="22"/>
          <w:szCs w:val="22"/>
        </w:rPr>
        <w:t>qualifying language to account for differences in teaching context (e.g.: large classes; performance courses).</w:t>
      </w:r>
    </w:p>
    <w:p w14:paraId="1E04B05A"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34EE226B" w14:textId="77777777" w:rsidR="00CA2D7A" w:rsidRPr="00A03111" w:rsidRDefault="00CA2D7A" w:rsidP="00CA2D7A">
      <w:pPr>
        <w:rPr>
          <w:rFonts w:asciiTheme="minorHAnsi" w:hAnsiTheme="minorHAnsi" w:cstheme="minorHAnsi"/>
          <w:color w:val="000000" w:themeColor="text1"/>
          <w:sz w:val="22"/>
          <w:szCs w:val="22"/>
          <w:shd w:val="clear" w:color="auto" w:fill="FFFFFF"/>
        </w:rPr>
      </w:pPr>
      <w:r w:rsidRPr="00A03111">
        <w:rPr>
          <w:rFonts w:asciiTheme="minorHAnsi" w:hAnsiTheme="minorHAnsi" w:cstheme="minorHAnsi"/>
          <w:color w:val="000000" w:themeColor="text1"/>
          <w:sz w:val="22"/>
          <w:szCs w:val="22"/>
          <w:shd w:val="clear" w:color="auto" w:fill="FFFFFF"/>
        </w:rPr>
        <w:t xml:space="preserve">Evaluators will use the </w:t>
      </w:r>
      <w:r w:rsidRPr="00A03111">
        <w:rPr>
          <w:rFonts w:asciiTheme="minorHAnsi" w:hAnsiTheme="minorHAnsi" w:cstheme="minorHAnsi"/>
          <w:bCs/>
          <w:color w:val="000000" w:themeColor="text1"/>
          <w:sz w:val="22"/>
          <w:szCs w:val="22"/>
          <w:shd w:val="clear" w:color="auto" w:fill="FFFFFF"/>
        </w:rPr>
        <w:t>Teaching Evaluation Criteria document</w:t>
      </w:r>
      <w:r w:rsidRPr="00A03111">
        <w:rPr>
          <w:rFonts w:asciiTheme="minorHAnsi" w:hAnsiTheme="minorHAnsi" w:cstheme="minorHAnsi"/>
          <w:b/>
          <w:bCs/>
          <w:color w:val="000000" w:themeColor="text1"/>
          <w:sz w:val="22"/>
          <w:szCs w:val="22"/>
          <w:shd w:val="clear" w:color="auto" w:fill="FFFFFF"/>
        </w:rPr>
        <w:t xml:space="preserve"> </w:t>
      </w:r>
      <w:r w:rsidRPr="00A03111">
        <w:rPr>
          <w:rFonts w:asciiTheme="minorHAnsi" w:hAnsiTheme="minorHAnsi" w:cstheme="minorHAnsi"/>
          <w:color w:val="000000" w:themeColor="text1"/>
          <w:sz w:val="22"/>
          <w:szCs w:val="22"/>
          <w:shd w:val="clear" w:color="auto" w:fill="FFFFFF"/>
        </w:rPr>
        <w:t>unless or until they have a modified criteria document approved by their dean and the Office of the Provost according to the process defined in the Collective Bargaining Agreement between the University of Oregon and United Academics (see Article 4, Section 4; Article 19, Section 2; Article 20, Section 3).</w:t>
      </w:r>
    </w:p>
    <w:p w14:paraId="2EAB45C7" w14:textId="77777777" w:rsidR="00CA2D7A" w:rsidRPr="00CA2D7A" w:rsidRDefault="00CA2D7A" w:rsidP="00CA2D7A">
      <w:pPr>
        <w:rPr>
          <w:rFonts w:asciiTheme="minorHAnsi" w:hAnsiTheme="minorHAnsi" w:cstheme="minorHAnsi"/>
          <w:color w:val="333333"/>
          <w:sz w:val="22"/>
          <w:szCs w:val="22"/>
          <w:shd w:val="clear" w:color="auto" w:fill="FFFFFF"/>
        </w:rPr>
      </w:pPr>
    </w:p>
    <w:p w14:paraId="7BA0B423" w14:textId="77777777" w:rsidR="00CA2D7A" w:rsidRPr="00CA2D7A"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F2BA28A" w14:textId="77777777" w:rsidR="00CA2D7A" w:rsidRPr="00CA2D7A"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CA2D7A">
        <w:rPr>
          <w:rStyle w:val="normaltextrun"/>
          <w:rFonts w:asciiTheme="minorHAnsi" w:hAnsiTheme="minorHAnsi" w:cstheme="minorHAnsi"/>
          <w:color w:val="000000"/>
          <w:sz w:val="22"/>
          <w:szCs w:val="22"/>
        </w:rPr>
        <w:t>2.4 BE IT FURTHER MOVED THAT:</w:t>
      </w:r>
      <w:r w:rsidRPr="00CA2D7A">
        <w:rPr>
          <w:rStyle w:val="eop"/>
          <w:rFonts w:asciiTheme="minorHAnsi" w:hAnsiTheme="minorHAnsi" w:cstheme="minorHAnsi"/>
          <w:color w:val="000000"/>
          <w:sz w:val="22"/>
          <w:szCs w:val="22"/>
        </w:rPr>
        <w:t> </w:t>
      </w:r>
    </w:p>
    <w:p w14:paraId="280783D7" w14:textId="0DA33CD9" w:rsidR="00CA2D7A" w:rsidRPr="00CA2D7A" w:rsidRDefault="00CA2D7A" w:rsidP="00CA2D7A">
      <w:pPr>
        <w:rPr>
          <w:rFonts w:asciiTheme="minorHAnsi" w:hAnsiTheme="minorHAnsi" w:cstheme="minorHAnsi"/>
          <w:sz w:val="22"/>
          <w:szCs w:val="22"/>
        </w:rPr>
      </w:pPr>
      <w:r w:rsidRPr="00CA2D7A">
        <w:rPr>
          <w:rStyle w:val="eop"/>
          <w:rFonts w:asciiTheme="minorHAnsi" w:hAnsiTheme="minorHAnsi" w:cstheme="minorHAnsi"/>
          <w:color w:val="000000"/>
          <w:sz w:val="22"/>
          <w:szCs w:val="22"/>
        </w:rPr>
        <w:t xml:space="preserve">This protocol is effective immediately, and shall be reviewed biannually by the </w:t>
      </w:r>
      <w:r w:rsidRPr="00CA2D7A">
        <w:rPr>
          <w:rFonts w:asciiTheme="minorHAnsi" w:hAnsiTheme="minorHAnsi" w:cstheme="minorHAnsi"/>
          <w:color w:val="000000"/>
          <w:sz w:val="22"/>
          <w:szCs w:val="22"/>
          <w:shd w:val="clear" w:color="auto" w:fill="FFFFFF"/>
        </w:rPr>
        <w:t xml:space="preserve">Senate Continuous Improvement and Evaluation of Teaching </w:t>
      </w:r>
      <w:r w:rsidR="00AF47CA">
        <w:rPr>
          <w:rFonts w:asciiTheme="minorHAnsi" w:hAnsiTheme="minorHAnsi" w:cstheme="minorHAnsi"/>
          <w:color w:val="000000"/>
          <w:sz w:val="22"/>
          <w:szCs w:val="22"/>
          <w:shd w:val="clear" w:color="auto" w:fill="FFFFFF"/>
        </w:rPr>
        <w:t xml:space="preserve">(CIET) </w:t>
      </w:r>
      <w:r w:rsidRPr="00CA2D7A">
        <w:rPr>
          <w:rFonts w:asciiTheme="minorHAnsi" w:hAnsiTheme="minorHAnsi" w:cstheme="minorHAnsi"/>
          <w:color w:val="000000"/>
          <w:sz w:val="22"/>
          <w:szCs w:val="22"/>
          <w:shd w:val="clear" w:color="auto" w:fill="FFFFFF"/>
        </w:rPr>
        <w:t>Committee.</w:t>
      </w:r>
    </w:p>
    <w:p w14:paraId="510F2F9B" w14:textId="406435AD" w:rsidR="00B07484" w:rsidRPr="00CA2D7A" w:rsidRDefault="00B07484" w:rsidP="009647CF">
      <w:pPr>
        <w:rPr>
          <w:rFonts w:ascii="Calibri" w:eastAsia="Calibri" w:hAnsi="Calibri" w:cs="Calibri"/>
          <w:color w:val="000000" w:themeColor="text1"/>
          <w:sz w:val="22"/>
          <w:szCs w:val="22"/>
        </w:rPr>
      </w:pPr>
    </w:p>
    <w:sectPr w:rsidR="00B07484" w:rsidRPr="00CA2D7A" w:rsidSect="00A7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556"/>
    <w:multiLevelType w:val="hybridMultilevel"/>
    <w:tmpl w:val="A560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E0823"/>
    <w:multiLevelType w:val="hybridMultilevel"/>
    <w:tmpl w:val="C2966BC4"/>
    <w:lvl w:ilvl="0" w:tplc="9BB2A2D2">
      <w:start w:val="1"/>
      <w:numFmt w:val="bullet"/>
      <w:lvlText w:val=""/>
      <w:lvlJc w:val="left"/>
      <w:pPr>
        <w:ind w:left="720" w:hanging="360"/>
      </w:pPr>
      <w:rPr>
        <w:rFonts w:ascii="Symbol" w:hAnsi="Symbol" w:hint="default"/>
      </w:rPr>
    </w:lvl>
    <w:lvl w:ilvl="1" w:tplc="E6748F3C">
      <w:start w:val="1"/>
      <w:numFmt w:val="bullet"/>
      <w:lvlText w:val="o"/>
      <w:lvlJc w:val="left"/>
      <w:pPr>
        <w:ind w:left="1440" w:hanging="360"/>
      </w:pPr>
      <w:rPr>
        <w:rFonts w:ascii="Courier New" w:hAnsi="Courier New" w:hint="default"/>
      </w:rPr>
    </w:lvl>
    <w:lvl w:ilvl="2" w:tplc="582E2DEE">
      <w:start w:val="1"/>
      <w:numFmt w:val="bullet"/>
      <w:lvlText w:val=""/>
      <w:lvlJc w:val="left"/>
      <w:pPr>
        <w:ind w:left="2160" w:hanging="360"/>
      </w:pPr>
      <w:rPr>
        <w:rFonts w:ascii="Wingdings" w:hAnsi="Wingdings" w:hint="default"/>
      </w:rPr>
    </w:lvl>
    <w:lvl w:ilvl="3" w:tplc="5A1E932A">
      <w:start w:val="1"/>
      <w:numFmt w:val="bullet"/>
      <w:lvlText w:val=""/>
      <w:lvlJc w:val="left"/>
      <w:pPr>
        <w:ind w:left="2880" w:hanging="360"/>
      </w:pPr>
      <w:rPr>
        <w:rFonts w:ascii="Symbol" w:hAnsi="Symbol" w:hint="default"/>
      </w:rPr>
    </w:lvl>
    <w:lvl w:ilvl="4" w:tplc="4056A2C6">
      <w:start w:val="1"/>
      <w:numFmt w:val="bullet"/>
      <w:lvlText w:val="o"/>
      <w:lvlJc w:val="left"/>
      <w:pPr>
        <w:ind w:left="3600" w:hanging="360"/>
      </w:pPr>
      <w:rPr>
        <w:rFonts w:ascii="Courier New" w:hAnsi="Courier New" w:hint="default"/>
      </w:rPr>
    </w:lvl>
    <w:lvl w:ilvl="5" w:tplc="0AE0831E">
      <w:start w:val="1"/>
      <w:numFmt w:val="bullet"/>
      <w:lvlText w:val=""/>
      <w:lvlJc w:val="left"/>
      <w:pPr>
        <w:ind w:left="4320" w:hanging="360"/>
      </w:pPr>
      <w:rPr>
        <w:rFonts w:ascii="Wingdings" w:hAnsi="Wingdings" w:hint="default"/>
      </w:rPr>
    </w:lvl>
    <w:lvl w:ilvl="6" w:tplc="75860C00">
      <w:start w:val="1"/>
      <w:numFmt w:val="bullet"/>
      <w:lvlText w:val=""/>
      <w:lvlJc w:val="left"/>
      <w:pPr>
        <w:ind w:left="5040" w:hanging="360"/>
      </w:pPr>
      <w:rPr>
        <w:rFonts w:ascii="Symbol" w:hAnsi="Symbol" w:hint="default"/>
      </w:rPr>
    </w:lvl>
    <w:lvl w:ilvl="7" w:tplc="B8B0EF8C">
      <w:start w:val="1"/>
      <w:numFmt w:val="bullet"/>
      <w:lvlText w:val="o"/>
      <w:lvlJc w:val="left"/>
      <w:pPr>
        <w:ind w:left="5760" w:hanging="360"/>
      </w:pPr>
      <w:rPr>
        <w:rFonts w:ascii="Courier New" w:hAnsi="Courier New" w:hint="default"/>
      </w:rPr>
    </w:lvl>
    <w:lvl w:ilvl="8" w:tplc="8ADEF354">
      <w:start w:val="1"/>
      <w:numFmt w:val="bullet"/>
      <w:lvlText w:val=""/>
      <w:lvlJc w:val="left"/>
      <w:pPr>
        <w:ind w:left="6480" w:hanging="360"/>
      </w:pPr>
      <w:rPr>
        <w:rFonts w:ascii="Wingdings" w:hAnsi="Wingdings" w:hint="default"/>
      </w:rPr>
    </w:lvl>
  </w:abstractNum>
  <w:abstractNum w:abstractNumId="2" w15:restartNumberingAfterBreak="0">
    <w:nsid w:val="6D657FBF"/>
    <w:multiLevelType w:val="hybridMultilevel"/>
    <w:tmpl w:val="FFFFFFFF"/>
    <w:lvl w:ilvl="0" w:tplc="1730E9F0">
      <w:start w:val="1"/>
      <w:numFmt w:val="bullet"/>
      <w:lvlText w:val=""/>
      <w:lvlJc w:val="left"/>
      <w:pPr>
        <w:ind w:left="720" w:hanging="360"/>
      </w:pPr>
      <w:rPr>
        <w:rFonts w:ascii="Symbol" w:hAnsi="Symbol" w:hint="default"/>
      </w:rPr>
    </w:lvl>
    <w:lvl w:ilvl="1" w:tplc="4E4626A2">
      <w:start w:val="1"/>
      <w:numFmt w:val="bullet"/>
      <w:lvlText w:val="o"/>
      <w:lvlJc w:val="left"/>
      <w:pPr>
        <w:ind w:left="1440" w:hanging="360"/>
      </w:pPr>
      <w:rPr>
        <w:rFonts w:ascii="Courier New" w:hAnsi="Courier New" w:hint="default"/>
      </w:rPr>
    </w:lvl>
    <w:lvl w:ilvl="2" w:tplc="875C7790">
      <w:start w:val="1"/>
      <w:numFmt w:val="bullet"/>
      <w:lvlText w:val=""/>
      <w:lvlJc w:val="left"/>
      <w:pPr>
        <w:ind w:left="2160" w:hanging="360"/>
      </w:pPr>
      <w:rPr>
        <w:rFonts w:ascii="Wingdings" w:hAnsi="Wingdings" w:hint="default"/>
      </w:rPr>
    </w:lvl>
    <w:lvl w:ilvl="3" w:tplc="49A0E426">
      <w:start w:val="1"/>
      <w:numFmt w:val="bullet"/>
      <w:lvlText w:val=""/>
      <w:lvlJc w:val="left"/>
      <w:pPr>
        <w:ind w:left="2880" w:hanging="360"/>
      </w:pPr>
      <w:rPr>
        <w:rFonts w:ascii="Symbol" w:hAnsi="Symbol" w:hint="default"/>
      </w:rPr>
    </w:lvl>
    <w:lvl w:ilvl="4" w:tplc="4378E776">
      <w:start w:val="1"/>
      <w:numFmt w:val="bullet"/>
      <w:lvlText w:val="o"/>
      <w:lvlJc w:val="left"/>
      <w:pPr>
        <w:ind w:left="3600" w:hanging="360"/>
      </w:pPr>
      <w:rPr>
        <w:rFonts w:ascii="Courier New" w:hAnsi="Courier New" w:hint="default"/>
      </w:rPr>
    </w:lvl>
    <w:lvl w:ilvl="5" w:tplc="4D762820">
      <w:start w:val="1"/>
      <w:numFmt w:val="bullet"/>
      <w:lvlText w:val=""/>
      <w:lvlJc w:val="left"/>
      <w:pPr>
        <w:ind w:left="4320" w:hanging="360"/>
      </w:pPr>
      <w:rPr>
        <w:rFonts w:ascii="Wingdings" w:hAnsi="Wingdings" w:hint="default"/>
      </w:rPr>
    </w:lvl>
    <w:lvl w:ilvl="6" w:tplc="A8FC3C1C">
      <w:start w:val="1"/>
      <w:numFmt w:val="bullet"/>
      <w:lvlText w:val=""/>
      <w:lvlJc w:val="left"/>
      <w:pPr>
        <w:ind w:left="5040" w:hanging="360"/>
      </w:pPr>
      <w:rPr>
        <w:rFonts w:ascii="Symbol" w:hAnsi="Symbol" w:hint="default"/>
      </w:rPr>
    </w:lvl>
    <w:lvl w:ilvl="7" w:tplc="9184DC54">
      <w:start w:val="1"/>
      <w:numFmt w:val="bullet"/>
      <w:lvlText w:val="o"/>
      <w:lvlJc w:val="left"/>
      <w:pPr>
        <w:ind w:left="5760" w:hanging="360"/>
      </w:pPr>
      <w:rPr>
        <w:rFonts w:ascii="Courier New" w:hAnsi="Courier New" w:hint="default"/>
      </w:rPr>
    </w:lvl>
    <w:lvl w:ilvl="8" w:tplc="0EF2A8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3C"/>
    <w:rsid w:val="000121DF"/>
    <w:rsid w:val="00012A38"/>
    <w:rsid w:val="00012F3E"/>
    <w:rsid w:val="00027A06"/>
    <w:rsid w:val="00033B16"/>
    <w:rsid w:val="00034C03"/>
    <w:rsid w:val="000622DD"/>
    <w:rsid w:val="00064EF0"/>
    <w:rsid w:val="00072462"/>
    <w:rsid w:val="00084280"/>
    <w:rsid w:val="0008451E"/>
    <w:rsid w:val="0009342D"/>
    <w:rsid w:val="000A26A9"/>
    <w:rsid w:val="000A6230"/>
    <w:rsid w:val="000A764F"/>
    <w:rsid w:val="000B66DD"/>
    <w:rsid w:val="000C0EF2"/>
    <w:rsid w:val="000D7340"/>
    <w:rsid w:val="000D7718"/>
    <w:rsid w:val="000E0C91"/>
    <w:rsid w:val="000E1431"/>
    <w:rsid w:val="000E5B8A"/>
    <w:rsid w:val="000F3838"/>
    <w:rsid w:val="00106AB7"/>
    <w:rsid w:val="001222E1"/>
    <w:rsid w:val="0012465C"/>
    <w:rsid w:val="0012718E"/>
    <w:rsid w:val="00130C01"/>
    <w:rsid w:val="00132295"/>
    <w:rsid w:val="001379D4"/>
    <w:rsid w:val="001440B1"/>
    <w:rsid w:val="00156C18"/>
    <w:rsid w:val="00162301"/>
    <w:rsid w:val="00166A80"/>
    <w:rsid w:val="00171F3A"/>
    <w:rsid w:val="001864F3"/>
    <w:rsid w:val="00187F0D"/>
    <w:rsid w:val="00191A42"/>
    <w:rsid w:val="001A1DC3"/>
    <w:rsid w:val="001B431C"/>
    <w:rsid w:val="001B7B28"/>
    <w:rsid w:val="001D18D4"/>
    <w:rsid w:val="001D1ABF"/>
    <w:rsid w:val="001D51AC"/>
    <w:rsid w:val="001E66EB"/>
    <w:rsid w:val="001F587A"/>
    <w:rsid w:val="001F66E4"/>
    <w:rsid w:val="001F7F4B"/>
    <w:rsid w:val="002005B6"/>
    <w:rsid w:val="00205E8E"/>
    <w:rsid w:val="002165C0"/>
    <w:rsid w:val="00250646"/>
    <w:rsid w:val="00250D9B"/>
    <w:rsid w:val="00255335"/>
    <w:rsid w:val="00256785"/>
    <w:rsid w:val="002708DA"/>
    <w:rsid w:val="002A1901"/>
    <w:rsid w:val="002B3C15"/>
    <w:rsid w:val="002B7A8C"/>
    <w:rsid w:val="002E1959"/>
    <w:rsid w:val="002E47DE"/>
    <w:rsid w:val="0030737B"/>
    <w:rsid w:val="00311BBD"/>
    <w:rsid w:val="0032539F"/>
    <w:rsid w:val="00326005"/>
    <w:rsid w:val="003300D6"/>
    <w:rsid w:val="00340170"/>
    <w:rsid w:val="00342EE3"/>
    <w:rsid w:val="0034407C"/>
    <w:rsid w:val="00344BFC"/>
    <w:rsid w:val="00345B8F"/>
    <w:rsid w:val="00363FAA"/>
    <w:rsid w:val="00384D94"/>
    <w:rsid w:val="003860CD"/>
    <w:rsid w:val="003A37A3"/>
    <w:rsid w:val="003A44B8"/>
    <w:rsid w:val="003A59E7"/>
    <w:rsid w:val="003C2C9B"/>
    <w:rsid w:val="003C63B4"/>
    <w:rsid w:val="003D0E85"/>
    <w:rsid w:val="003D10C2"/>
    <w:rsid w:val="003E0C4D"/>
    <w:rsid w:val="003E39B7"/>
    <w:rsid w:val="003F574C"/>
    <w:rsid w:val="0040411C"/>
    <w:rsid w:val="00407618"/>
    <w:rsid w:val="0042150C"/>
    <w:rsid w:val="00437CD2"/>
    <w:rsid w:val="00451733"/>
    <w:rsid w:val="00476191"/>
    <w:rsid w:val="004911B1"/>
    <w:rsid w:val="00493C24"/>
    <w:rsid w:val="004A23AE"/>
    <w:rsid w:val="004A3103"/>
    <w:rsid w:val="004C1DF7"/>
    <w:rsid w:val="004C3664"/>
    <w:rsid w:val="004D6A56"/>
    <w:rsid w:val="004F2C08"/>
    <w:rsid w:val="00501D51"/>
    <w:rsid w:val="00512B12"/>
    <w:rsid w:val="00515FA5"/>
    <w:rsid w:val="005165CB"/>
    <w:rsid w:val="005341DE"/>
    <w:rsid w:val="00540264"/>
    <w:rsid w:val="0054684F"/>
    <w:rsid w:val="0057194E"/>
    <w:rsid w:val="00573689"/>
    <w:rsid w:val="00582AAE"/>
    <w:rsid w:val="0058630A"/>
    <w:rsid w:val="00586BEB"/>
    <w:rsid w:val="00587480"/>
    <w:rsid w:val="00591273"/>
    <w:rsid w:val="005922D6"/>
    <w:rsid w:val="00593F96"/>
    <w:rsid w:val="005B4EA4"/>
    <w:rsid w:val="005B7868"/>
    <w:rsid w:val="005C4FB3"/>
    <w:rsid w:val="005D0C77"/>
    <w:rsid w:val="005D33B0"/>
    <w:rsid w:val="005D4111"/>
    <w:rsid w:val="005D7439"/>
    <w:rsid w:val="00631E68"/>
    <w:rsid w:val="006351E2"/>
    <w:rsid w:val="00637F4A"/>
    <w:rsid w:val="006510C3"/>
    <w:rsid w:val="0065175B"/>
    <w:rsid w:val="0065703E"/>
    <w:rsid w:val="00663B80"/>
    <w:rsid w:val="0066584F"/>
    <w:rsid w:val="00670554"/>
    <w:rsid w:val="00687123"/>
    <w:rsid w:val="006923F9"/>
    <w:rsid w:val="006949C5"/>
    <w:rsid w:val="006A1AA2"/>
    <w:rsid w:val="006B5193"/>
    <w:rsid w:val="006B58B2"/>
    <w:rsid w:val="006C7004"/>
    <w:rsid w:val="006D0576"/>
    <w:rsid w:val="006D10AF"/>
    <w:rsid w:val="006D134D"/>
    <w:rsid w:val="006E6ADC"/>
    <w:rsid w:val="006E6B4F"/>
    <w:rsid w:val="006F1F72"/>
    <w:rsid w:val="00713400"/>
    <w:rsid w:val="00714457"/>
    <w:rsid w:val="00716FD8"/>
    <w:rsid w:val="00757019"/>
    <w:rsid w:val="00780071"/>
    <w:rsid w:val="00780896"/>
    <w:rsid w:val="00781F98"/>
    <w:rsid w:val="007A0C2B"/>
    <w:rsid w:val="007A6F65"/>
    <w:rsid w:val="007A7F0D"/>
    <w:rsid w:val="007B03C6"/>
    <w:rsid w:val="007B0AA8"/>
    <w:rsid w:val="007D4814"/>
    <w:rsid w:val="007D5684"/>
    <w:rsid w:val="00802826"/>
    <w:rsid w:val="00821905"/>
    <w:rsid w:val="00823CEF"/>
    <w:rsid w:val="00836B22"/>
    <w:rsid w:val="00842E05"/>
    <w:rsid w:val="00845D7C"/>
    <w:rsid w:val="00870AC2"/>
    <w:rsid w:val="00871FEE"/>
    <w:rsid w:val="00880321"/>
    <w:rsid w:val="00881DBF"/>
    <w:rsid w:val="008830F3"/>
    <w:rsid w:val="0088571A"/>
    <w:rsid w:val="008A0124"/>
    <w:rsid w:val="008A627D"/>
    <w:rsid w:val="008B3B58"/>
    <w:rsid w:val="008D071D"/>
    <w:rsid w:val="008D3A3F"/>
    <w:rsid w:val="008E2990"/>
    <w:rsid w:val="008E55E2"/>
    <w:rsid w:val="008E755F"/>
    <w:rsid w:val="008F53B0"/>
    <w:rsid w:val="008F6091"/>
    <w:rsid w:val="00913E42"/>
    <w:rsid w:val="009157C3"/>
    <w:rsid w:val="00924182"/>
    <w:rsid w:val="009352F3"/>
    <w:rsid w:val="0094411D"/>
    <w:rsid w:val="00946347"/>
    <w:rsid w:val="00950903"/>
    <w:rsid w:val="009640D0"/>
    <w:rsid w:val="009647CF"/>
    <w:rsid w:val="009873ED"/>
    <w:rsid w:val="00991859"/>
    <w:rsid w:val="00993AB0"/>
    <w:rsid w:val="009A2ABC"/>
    <w:rsid w:val="009B7467"/>
    <w:rsid w:val="009C30E8"/>
    <w:rsid w:val="009C6174"/>
    <w:rsid w:val="009D2885"/>
    <w:rsid w:val="00A0266F"/>
    <w:rsid w:val="00A03111"/>
    <w:rsid w:val="00A16BC5"/>
    <w:rsid w:val="00A23F25"/>
    <w:rsid w:val="00A25612"/>
    <w:rsid w:val="00A27624"/>
    <w:rsid w:val="00A4435C"/>
    <w:rsid w:val="00A513C4"/>
    <w:rsid w:val="00A72A47"/>
    <w:rsid w:val="00A81139"/>
    <w:rsid w:val="00A81A31"/>
    <w:rsid w:val="00A906E8"/>
    <w:rsid w:val="00AA574A"/>
    <w:rsid w:val="00AB3137"/>
    <w:rsid w:val="00AC17D9"/>
    <w:rsid w:val="00AC289B"/>
    <w:rsid w:val="00AD4E5D"/>
    <w:rsid w:val="00AF1446"/>
    <w:rsid w:val="00AF47CA"/>
    <w:rsid w:val="00B06A1D"/>
    <w:rsid w:val="00B07484"/>
    <w:rsid w:val="00B24B9F"/>
    <w:rsid w:val="00B30C58"/>
    <w:rsid w:val="00B362FF"/>
    <w:rsid w:val="00B41BE8"/>
    <w:rsid w:val="00B4225F"/>
    <w:rsid w:val="00B44AE5"/>
    <w:rsid w:val="00B45FC1"/>
    <w:rsid w:val="00B475C9"/>
    <w:rsid w:val="00B645F8"/>
    <w:rsid w:val="00B704EE"/>
    <w:rsid w:val="00BA79AE"/>
    <w:rsid w:val="00BC4E76"/>
    <w:rsid w:val="00BC6A0A"/>
    <w:rsid w:val="00BD06E1"/>
    <w:rsid w:val="00BD3638"/>
    <w:rsid w:val="00BD4B5C"/>
    <w:rsid w:val="00BD7C11"/>
    <w:rsid w:val="00BF1956"/>
    <w:rsid w:val="00C04219"/>
    <w:rsid w:val="00C1784D"/>
    <w:rsid w:val="00C22599"/>
    <w:rsid w:val="00C270C3"/>
    <w:rsid w:val="00C53E3A"/>
    <w:rsid w:val="00C635BA"/>
    <w:rsid w:val="00C82B34"/>
    <w:rsid w:val="00C91DFA"/>
    <w:rsid w:val="00C958E8"/>
    <w:rsid w:val="00CA00B0"/>
    <w:rsid w:val="00CA2D7A"/>
    <w:rsid w:val="00CD7DBB"/>
    <w:rsid w:val="00CE4B2A"/>
    <w:rsid w:val="00CF32F9"/>
    <w:rsid w:val="00CF61E5"/>
    <w:rsid w:val="00D14D14"/>
    <w:rsid w:val="00D25662"/>
    <w:rsid w:val="00D25BB6"/>
    <w:rsid w:val="00D26794"/>
    <w:rsid w:val="00D53C21"/>
    <w:rsid w:val="00D54B9D"/>
    <w:rsid w:val="00D73121"/>
    <w:rsid w:val="00D77E14"/>
    <w:rsid w:val="00D84455"/>
    <w:rsid w:val="00DA08CF"/>
    <w:rsid w:val="00DA0D96"/>
    <w:rsid w:val="00DA26B2"/>
    <w:rsid w:val="00DA30B0"/>
    <w:rsid w:val="00DA3DBD"/>
    <w:rsid w:val="00DA4803"/>
    <w:rsid w:val="00DB0BD9"/>
    <w:rsid w:val="00DB1CBA"/>
    <w:rsid w:val="00DB2B7D"/>
    <w:rsid w:val="00DB3F29"/>
    <w:rsid w:val="00DC2C75"/>
    <w:rsid w:val="00DC2DD3"/>
    <w:rsid w:val="00DD2D07"/>
    <w:rsid w:val="00DD4987"/>
    <w:rsid w:val="00DE14C6"/>
    <w:rsid w:val="00DF020C"/>
    <w:rsid w:val="00DF44DC"/>
    <w:rsid w:val="00DF5A2F"/>
    <w:rsid w:val="00DF6F6D"/>
    <w:rsid w:val="00E16617"/>
    <w:rsid w:val="00E16956"/>
    <w:rsid w:val="00E312C7"/>
    <w:rsid w:val="00E3178A"/>
    <w:rsid w:val="00E44125"/>
    <w:rsid w:val="00E51566"/>
    <w:rsid w:val="00E66658"/>
    <w:rsid w:val="00E6666D"/>
    <w:rsid w:val="00E87114"/>
    <w:rsid w:val="00E97012"/>
    <w:rsid w:val="00EA0CB2"/>
    <w:rsid w:val="00EB01E4"/>
    <w:rsid w:val="00EC1542"/>
    <w:rsid w:val="00EC2C3C"/>
    <w:rsid w:val="00ED1D27"/>
    <w:rsid w:val="00ED6E2C"/>
    <w:rsid w:val="00EE41A7"/>
    <w:rsid w:val="00F003BA"/>
    <w:rsid w:val="00F0389F"/>
    <w:rsid w:val="00F076D3"/>
    <w:rsid w:val="00F13BC6"/>
    <w:rsid w:val="00F1738B"/>
    <w:rsid w:val="00F25730"/>
    <w:rsid w:val="00F3276E"/>
    <w:rsid w:val="00F364B2"/>
    <w:rsid w:val="00F3787D"/>
    <w:rsid w:val="00F45533"/>
    <w:rsid w:val="00F56943"/>
    <w:rsid w:val="00F62DD0"/>
    <w:rsid w:val="00F6449D"/>
    <w:rsid w:val="00F74F87"/>
    <w:rsid w:val="00F80B94"/>
    <w:rsid w:val="00F81D10"/>
    <w:rsid w:val="00FB1B73"/>
    <w:rsid w:val="00FD217E"/>
    <w:rsid w:val="00FD420D"/>
    <w:rsid w:val="00FD582B"/>
    <w:rsid w:val="00FD59A5"/>
    <w:rsid w:val="00FF07FE"/>
    <w:rsid w:val="0178F264"/>
    <w:rsid w:val="021AD824"/>
    <w:rsid w:val="023F19CD"/>
    <w:rsid w:val="0283C4A4"/>
    <w:rsid w:val="02990120"/>
    <w:rsid w:val="02C93DBD"/>
    <w:rsid w:val="03B62B28"/>
    <w:rsid w:val="040B00E3"/>
    <w:rsid w:val="0420EEE7"/>
    <w:rsid w:val="044BB4B4"/>
    <w:rsid w:val="04BA206F"/>
    <w:rsid w:val="04E296CE"/>
    <w:rsid w:val="05EE999C"/>
    <w:rsid w:val="06447571"/>
    <w:rsid w:val="07964A5B"/>
    <w:rsid w:val="07B0ACEE"/>
    <w:rsid w:val="07EA2B96"/>
    <w:rsid w:val="08167D33"/>
    <w:rsid w:val="08171146"/>
    <w:rsid w:val="0829E2D7"/>
    <w:rsid w:val="08749C1B"/>
    <w:rsid w:val="08D7CDF9"/>
    <w:rsid w:val="091F0F0C"/>
    <w:rsid w:val="0A13E4E9"/>
    <w:rsid w:val="0C10B19F"/>
    <w:rsid w:val="0C9F0AF7"/>
    <w:rsid w:val="0DB73A48"/>
    <w:rsid w:val="0DF058AA"/>
    <w:rsid w:val="0DFB809F"/>
    <w:rsid w:val="0F35FFEE"/>
    <w:rsid w:val="0F80E30D"/>
    <w:rsid w:val="0F902DC3"/>
    <w:rsid w:val="10D82DAB"/>
    <w:rsid w:val="10DFE295"/>
    <w:rsid w:val="125B1E33"/>
    <w:rsid w:val="12D44227"/>
    <w:rsid w:val="131855AD"/>
    <w:rsid w:val="13539FBE"/>
    <w:rsid w:val="136A4116"/>
    <w:rsid w:val="141A4A54"/>
    <w:rsid w:val="14DDABEB"/>
    <w:rsid w:val="14F2D0E3"/>
    <w:rsid w:val="15661FC6"/>
    <w:rsid w:val="15933C52"/>
    <w:rsid w:val="15B04177"/>
    <w:rsid w:val="15D750F8"/>
    <w:rsid w:val="163D6C03"/>
    <w:rsid w:val="1680E775"/>
    <w:rsid w:val="16B94D2A"/>
    <w:rsid w:val="16E787CE"/>
    <w:rsid w:val="17CB64C2"/>
    <w:rsid w:val="17E6C644"/>
    <w:rsid w:val="184340BC"/>
    <w:rsid w:val="188DEDF2"/>
    <w:rsid w:val="188FFEBA"/>
    <w:rsid w:val="189E1544"/>
    <w:rsid w:val="1A45496D"/>
    <w:rsid w:val="1B232CAE"/>
    <w:rsid w:val="1B33AD8E"/>
    <w:rsid w:val="1BDD86FA"/>
    <w:rsid w:val="1C06B56C"/>
    <w:rsid w:val="1C48E129"/>
    <w:rsid w:val="1E07A26C"/>
    <w:rsid w:val="1E49F121"/>
    <w:rsid w:val="1E76DCB5"/>
    <w:rsid w:val="1E9A3086"/>
    <w:rsid w:val="1FAE7B3E"/>
    <w:rsid w:val="1FE6E3DB"/>
    <w:rsid w:val="207C73F5"/>
    <w:rsid w:val="210CEC5A"/>
    <w:rsid w:val="2125CA43"/>
    <w:rsid w:val="21533921"/>
    <w:rsid w:val="217DC3E9"/>
    <w:rsid w:val="218C110B"/>
    <w:rsid w:val="21F8CB70"/>
    <w:rsid w:val="2215CA78"/>
    <w:rsid w:val="22E2D680"/>
    <w:rsid w:val="23025410"/>
    <w:rsid w:val="23876B4D"/>
    <w:rsid w:val="23A7E986"/>
    <w:rsid w:val="23A9F54E"/>
    <w:rsid w:val="240F5623"/>
    <w:rsid w:val="246DCEDF"/>
    <w:rsid w:val="24D010BB"/>
    <w:rsid w:val="24FE9027"/>
    <w:rsid w:val="25B0D045"/>
    <w:rsid w:val="264D5753"/>
    <w:rsid w:val="26FD5EAA"/>
    <w:rsid w:val="275D3EB5"/>
    <w:rsid w:val="27D3665B"/>
    <w:rsid w:val="27FE1516"/>
    <w:rsid w:val="28558E10"/>
    <w:rsid w:val="28F734DE"/>
    <w:rsid w:val="290F6258"/>
    <w:rsid w:val="296F36BC"/>
    <w:rsid w:val="297044E6"/>
    <w:rsid w:val="29C107CC"/>
    <w:rsid w:val="2A1A6209"/>
    <w:rsid w:val="2A3F3682"/>
    <w:rsid w:val="2A9855F9"/>
    <w:rsid w:val="2ADB496E"/>
    <w:rsid w:val="2AE257C3"/>
    <w:rsid w:val="2B99D30E"/>
    <w:rsid w:val="2C06E96C"/>
    <w:rsid w:val="2C69B3FA"/>
    <w:rsid w:val="2D28879E"/>
    <w:rsid w:val="2DE48062"/>
    <w:rsid w:val="2E4DD2DD"/>
    <w:rsid w:val="2FB73A29"/>
    <w:rsid w:val="303A6C7D"/>
    <w:rsid w:val="30684CE0"/>
    <w:rsid w:val="307650BD"/>
    <w:rsid w:val="312641EA"/>
    <w:rsid w:val="315C4978"/>
    <w:rsid w:val="317CA344"/>
    <w:rsid w:val="31CD1BAE"/>
    <w:rsid w:val="31DED997"/>
    <w:rsid w:val="3208610C"/>
    <w:rsid w:val="320A71C0"/>
    <w:rsid w:val="3211EDA3"/>
    <w:rsid w:val="32380A84"/>
    <w:rsid w:val="3282481F"/>
    <w:rsid w:val="33150810"/>
    <w:rsid w:val="33207C23"/>
    <w:rsid w:val="3467F4B0"/>
    <w:rsid w:val="354932AF"/>
    <w:rsid w:val="35736AB5"/>
    <w:rsid w:val="35FA306A"/>
    <w:rsid w:val="36197FE5"/>
    <w:rsid w:val="367DA849"/>
    <w:rsid w:val="374A1970"/>
    <w:rsid w:val="375ACE05"/>
    <w:rsid w:val="37F177AB"/>
    <w:rsid w:val="37F26D39"/>
    <w:rsid w:val="381DF66B"/>
    <w:rsid w:val="387DB248"/>
    <w:rsid w:val="390CDA50"/>
    <w:rsid w:val="3960ABF4"/>
    <w:rsid w:val="3AF590E8"/>
    <w:rsid w:val="3BB87433"/>
    <w:rsid w:val="3D60FC33"/>
    <w:rsid w:val="3EA1E330"/>
    <w:rsid w:val="3EB71A89"/>
    <w:rsid w:val="3EE77EE4"/>
    <w:rsid w:val="3EF8F4DC"/>
    <w:rsid w:val="3F58CA05"/>
    <w:rsid w:val="3F85045D"/>
    <w:rsid w:val="3FA739CE"/>
    <w:rsid w:val="3FBF660C"/>
    <w:rsid w:val="3FEF872C"/>
    <w:rsid w:val="4095D1C2"/>
    <w:rsid w:val="40ADFE00"/>
    <w:rsid w:val="40C43C24"/>
    <w:rsid w:val="41007A6D"/>
    <w:rsid w:val="413BE6F2"/>
    <w:rsid w:val="414CEFF3"/>
    <w:rsid w:val="418EF18A"/>
    <w:rsid w:val="41F6B016"/>
    <w:rsid w:val="42F2CE11"/>
    <w:rsid w:val="43239EAE"/>
    <w:rsid w:val="4334A7AF"/>
    <w:rsid w:val="43446ACC"/>
    <w:rsid w:val="4351ACD4"/>
    <w:rsid w:val="438FC7D2"/>
    <w:rsid w:val="439A0F69"/>
    <w:rsid w:val="43CAFAD9"/>
    <w:rsid w:val="44F293AF"/>
    <w:rsid w:val="451E5D98"/>
    <w:rsid w:val="45396490"/>
    <w:rsid w:val="4696968D"/>
    <w:rsid w:val="47175E7D"/>
    <w:rsid w:val="47669164"/>
    <w:rsid w:val="47E201E1"/>
    <w:rsid w:val="47EDDF86"/>
    <w:rsid w:val="48246977"/>
    <w:rsid w:val="492AEBA0"/>
    <w:rsid w:val="49505BA3"/>
    <w:rsid w:val="49EAEB12"/>
    <w:rsid w:val="4A8EC281"/>
    <w:rsid w:val="4A9A3F8D"/>
    <w:rsid w:val="4AB7544E"/>
    <w:rsid w:val="4B09EB38"/>
    <w:rsid w:val="4B427F64"/>
    <w:rsid w:val="4BA086B8"/>
    <w:rsid w:val="4BBC1C1C"/>
    <w:rsid w:val="4CCDA60A"/>
    <w:rsid w:val="4D8C6888"/>
    <w:rsid w:val="4EC77745"/>
    <w:rsid w:val="4ECC5DCE"/>
    <w:rsid w:val="509E154A"/>
    <w:rsid w:val="518D3602"/>
    <w:rsid w:val="51B4570E"/>
    <w:rsid w:val="5245CDAF"/>
    <w:rsid w:val="52A2BE0B"/>
    <w:rsid w:val="53187417"/>
    <w:rsid w:val="53B00B77"/>
    <w:rsid w:val="53BED070"/>
    <w:rsid w:val="53CB4F18"/>
    <w:rsid w:val="541CE20C"/>
    <w:rsid w:val="54750E6F"/>
    <w:rsid w:val="54E25946"/>
    <w:rsid w:val="56612482"/>
    <w:rsid w:val="567E29A7"/>
    <w:rsid w:val="56887238"/>
    <w:rsid w:val="56B3E945"/>
    <w:rsid w:val="57513852"/>
    <w:rsid w:val="58586BC3"/>
    <w:rsid w:val="5A6FB0B7"/>
    <w:rsid w:val="5A708D5A"/>
    <w:rsid w:val="5AB9CB45"/>
    <w:rsid w:val="5AFE0020"/>
    <w:rsid w:val="5B208938"/>
    <w:rsid w:val="5B459EA6"/>
    <w:rsid w:val="5B4A64F9"/>
    <w:rsid w:val="5B825A46"/>
    <w:rsid w:val="5BC7E7A0"/>
    <w:rsid w:val="5C0ECB94"/>
    <w:rsid w:val="5C9BAECA"/>
    <w:rsid w:val="5D916A11"/>
    <w:rsid w:val="5E7404CA"/>
    <w:rsid w:val="5F4A7270"/>
    <w:rsid w:val="5FD629C8"/>
    <w:rsid w:val="605357A6"/>
    <w:rsid w:val="61B3E40B"/>
    <w:rsid w:val="62024A87"/>
    <w:rsid w:val="632F70E4"/>
    <w:rsid w:val="63CDDD68"/>
    <w:rsid w:val="64225AD4"/>
    <w:rsid w:val="6430B593"/>
    <w:rsid w:val="6531BB58"/>
    <w:rsid w:val="6653FFFA"/>
    <w:rsid w:val="666E2629"/>
    <w:rsid w:val="66E37113"/>
    <w:rsid w:val="6783377D"/>
    <w:rsid w:val="683A092C"/>
    <w:rsid w:val="68428647"/>
    <w:rsid w:val="68F53C22"/>
    <w:rsid w:val="6908B8E6"/>
    <w:rsid w:val="691AF80D"/>
    <w:rsid w:val="696AEF39"/>
    <w:rsid w:val="69C97621"/>
    <w:rsid w:val="69D15B2E"/>
    <w:rsid w:val="6A453E48"/>
    <w:rsid w:val="6AA81E1C"/>
    <w:rsid w:val="6AD83632"/>
    <w:rsid w:val="6B4DCCF0"/>
    <w:rsid w:val="6B5EA319"/>
    <w:rsid w:val="6B9BCBC9"/>
    <w:rsid w:val="6CAB4719"/>
    <w:rsid w:val="6CD64B18"/>
    <w:rsid w:val="6CEE7756"/>
    <w:rsid w:val="6D1CEC7C"/>
    <w:rsid w:val="6D39E154"/>
    <w:rsid w:val="6D4C9748"/>
    <w:rsid w:val="6DC0A709"/>
    <w:rsid w:val="6E70A1FD"/>
    <w:rsid w:val="6EDD524F"/>
    <w:rsid w:val="6F44F6C6"/>
    <w:rsid w:val="6FA52CFF"/>
    <w:rsid w:val="71F42A1A"/>
    <w:rsid w:val="71F83E16"/>
    <w:rsid w:val="72576983"/>
    <w:rsid w:val="72C9CDA1"/>
    <w:rsid w:val="73140F16"/>
    <w:rsid w:val="734C1A2C"/>
    <w:rsid w:val="7351834D"/>
    <w:rsid w:val="7397001A"/>
    <w:rsid w:val="73E4E3FC"/>
    <w:rsid w:val="740972D2"/>
    <w:rsid w:val="7471D104"/>
    <w:rsid w:val="7488104F"/>
    <w:rsid w:val="74A5C504"/>
    <w:rsid w:val="74E060DE"/>
    <w:rsid w:val="752BCADC"/>
    <w:rsid w:val="7645BD92"/>
    <w:rsid w:val="7747BB00"/>
    <w:rsid w:val="77587444"/>
    <w:rsid w:val="7793C06A"/>
    <w:rsid w:val="77B00555"/>
    <w:rsid w:val="7808B703"/>
    <w:rsid w:val="788A139E"/>
    <w:rsid w:val="78AF52F9"/>
    <w:rsid w:val="7986A9AC"/>
    <w:rsid w:val="79FFB95C"/>
    <w:rsid w:val="7A4D7DFD"/>
    <w:rsid w:val="7A81C7AC"/>
    <w:rsid w:val="7AD6A4CF"/>
    <w:rsid w:val="7B5E4EE4"/>
    <w:rsid w:val="7B7F9CA4"/>
    <w:rsid w:val="7BE21778"/>
    <w:rsid w:val="7BE2FAA0"/>
    <w:rsid w:val="7BF71DB1"/>
    <w:rsid w:val="7CAAF800"/>
    <w:rsid w:val="7D36A78B"/>
    <w:rsid w:val="7DCE260D"/>
    <w:rsid w:val="7E290D5C"/>
    <w:rsid w:val="7E3E8AA4"/>
    <w:rsid w:val="7EF13776"/>
    <w:rsid w:val="7F1CBEEB"/>
    <w:rsid w:val="7F526111"/>
    <w:rsid w:val="7FCBA23C"/>
    <w:rsid w:val="7FED7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A111"/>
  <w15:chartTrackingRefBased/>
  <w15:docId w15:val="{D8E0D144-C730-1143-B6AE-49D3EE99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C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C3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2C3C"/>
    <w:rPr>
      <w:sz w:val="20"/>
      <w:szCs w:val="20"/>
    </w:rPr>
  </w:style>
  <w:style w:type="character" w:styleId="CommentReference">
    <w:name w:val="annotation reference"/>
    <w:basedOn w:val="DefaultParagraphFont"/>
    <w:uiPriority w:val="99"/>
    <w:semiHidden/>
    <w:unhideWhenUsed/>
    <w:rsid w:val="00EC2C3C"/>
    <w:rPr>
      <w:sz w:val="16"/>
      <w:szCs w:val="16"/>
    </w:rPr>
  </w:style>
  <w:style w:type="character" w:styleId="Hyperlink">
    <w:name w:val="Hyperlink"/>
    <w:basedOn w:val="DefaultParagraphFont"/>
    <w:uiPriority w:val="99"/>
    <w:unhideWhenUsed/>
    <w:rsid w:val="00EC2C3C"/>
    <w:rPr>
      <w:color w:val="0563C1" w:themeColor="hyperlink"/>
      <w:u w:val="single"/>
    </w:rPr>
  </w:style>
  <w:style w:type="paragraph" w:styleId="BalloonText">
    <w:name w:val="Balloon Text"/>
    <w:basedOn w:val="Normal"/>
    <w:link w:val="BalloonTextChar"/>
    <w:uiPriority w:val="99"/>
    <w:semiHidden/>
    <w:unhideWhenUsed/>
    <w:rsid w:val="00EC2C3C"/>
    <w:rPr>
      <w:sz w:val="18"/>
      <w:szCs w:val="18"/>
    </w:rPr>
  </w:style>
  <w:style w:type="character" w:customStyle="1" w:styleId="BalloonTextChar">
    <w:name w:val="Balloon Text Char"/>
    <w:basedOn w:val="DefaultParagraphFont"/>
    <w:link w:val="BalloonText"/>
    <w:uiPriority w:val="99"/>
    <w:semiHidden/>
    <w:rsid w:val="00EC2C3C"/>
    <w:rPr>
      <w:rFonts w:ascii="Times New Roman" w:eastAsia="Times New Roman" w:hAnsi="Times New Roman" w:cs="Times New Roman"/>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84D9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63B8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3B8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B45FC1"/>
  </w:style>
  <w:style w:type="paragraph" w:customStyle="1" w:styleId="paragraph">
    <w:name w:val="paragraph"/>
    <w:basedOn w:val="Normal"/>
    <w:rsid w:val="008E2990"/>
    <w:pPr>
      <w:spacing w:before="100" w:beforeAutospacing="1" w:after="100" w:afterAutospacing="1"/>
    </w:pPr>
  </w:style>
  <w:style w:type="character" w:customStyle="1" w:styleId="normaltextrun">
    <w:name w:val="normaltextrun"/>
    <w:basedOn w:val="DefaultParagraphFont"/>
    <w:rsid w:val="008E2990"/>
  </w:style>
  <w:style w:type="character" w:customStyle="1" w:styleId="eop">
    <w:name w:val="eop"/>
    <w:basedOn w:val="DefaultParagraphFont"/>
    <w:rsid w:val="008E2990"/>
  </w:style>
  <w:style w:type="paragraph" w:styleId="NormalWeb">
    <w:name w:val="Normal (Web)"/>
    <w:basedOn w:val="Normal"/>
    <w:uiPriority w:val="99"/>
    <w:semiHidden/>
    <w:unhideWhenUsed/>
    <w:rsid w:val="008E2990"/>
    <w:pPr>
      <w:spacing w:before="100" w:beforeAutospacing="1" w:after="100" w:afterAutospacing="1"/>
    </w:pPr>
  </w:style>
  <w:style w:type="paragraph" w:styleId="Revision">
    <w:name w:val="Revision"/>
    <w:hidden/>
    <w:uiPriority w:val="99"/>
    <w:semiHidden/>
    <w:rsid w:val="008E29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7408">
      <w:bodyDiv w:val="1"/>
      <w:marLeft w:val="0"/>
      <w:marRight w:val="0"/>
      <w:marTop w:val="0"/>
      <w:marBottom w:val="0"/>
      <w:divBdr>
        <w:top w:val="none" w:sz="0" w:space="0" w:color="auto"/>
        <w:left w:val="none" w:sz="0" w:space="0" w:color="auto"/>
        <w:bottom w:val="none" w:sz="0" w:space="0" w:color="auto"/>
        <w:right w:val="none" w:sz="0" w:space="0" w:color="auto"/>
      </w:divBdr>
    </w:div>
    <w:div w:id="2672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ate.uoregon.edu/entry/?Motions=US17/1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Links>
    <vt:vector size="6" baseType="variant">
      <vt:variant>
        <vt:i4>852051</vt:i4>
      </vt:variant>
      <vt:variant>
        <vt:i4>0</vt:i4>
      </vt:variant>
      <vt:variant>
        <vt:i4>0</vt:i4>
      </vt:variant>
      <vt:variant>
        <vt:i4>5</vt:i4>
      </vt:variant>
      <vt:variant>
        <vt:lpwstr>https://senate.uoregon.edu/entry/?Motions=US17/18-19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Betina Lynn</cp:lastModifiedBy>
  <cp:revision>2</cp:revision>
  <dcterms:created xsi:type="dcterms:W3CDTF">2021-01-05T23:57:00Z</dcterms:created>
  <dcterms:modified xsi:type="dcterms:W3CDTF">2021-01-05T23:57:00Z</dcterms:modified>
</cp:coreProperties>
</file>