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828A" w14:textId="657EB525" w:rsidR="00F7514B" w:rsidRPr="00326005" w:rsidRDefault="00F7514B" w:rsidP="424A4788">
      <w:pPr>
        <w:rPr>
          <w:rFonts w:asciiTheme="minorHAnsi" w:hAnsiTheme="minorHAnsi" w:cstheme="minorBidi"/>
          <w:b/>
          <w:bCs/>
        </w:rPr>
      </w:pPr>
      <w:bookmarkStart w:id="0" w:name="_GoBack"/>
      <w:bookmarkEnd w:id="0"/>
      <w:r w:rsidRPr="424A4788">
        <w:rPr>
          <w:rFonts w:asciiTheme="minorHAnsi" w:hAnsiTheme="minorHAnsi" w:cstheme="minorBidi"/>
          <w:b/>
          <w:bCs/>
        </w:rPr>
        <w:t>Addendum to US20/21-</w:t>
      </w:r>
      <w:r w:rsidRPr="424A4788">
        <w:rPr>
          <w:rFonts w:asciiTheme="minorHAnsi" w:hAnsiTheme="minorHAnsi" w:cstheme="minorBidi"/>
          <w:b/>
          <w:bCs/>
          <w:highlight w:val="yellow"/>
        </w:rPr>
        <w:t>#</w:t>
      </w:r>
      <w:r w:rsidRPr="424A4788">
        <w:rPr>
          <w:rFonts w:asciiTheme="minorHAnsi" w:hAnsiTheme="minorHAnsi" w:cstheme="minorBidi"/>
          <w:b/>
          <w:bCs/>
        </w:rPr>
        <w:t xml:space="preserve"> Motion Affirming Multi-Source, Criteria-Based Teaching Evaluation Framework</w:t>
      </w:r>
    </w:p>
    <w:p w14:paraId="780BAE56" w14:textId="77777777" w:rsidR="00F7514B" w:rsidRDefault="00F7514B" w:rsidP="00F7514B">
      <w:pPr>
        <w:rPr>
          <w:rFonts w:asciiTheme="minorHAnsi" w:hAnsiTheme="minorHAnsi" w:cstheme="minorBidi"/>
        </w:rPr>
      </w:pPr>
    </w:p>
    <w:p w14:paraId="500DADD1" w14:textId="48F848BF" w:rsidR="00F7514B" w:rsidRDefault="00F7514B" w:rsidP="00F7514B">
      <w:pPr>
        <w:rPr>
          <w:rFonts w:asciiTheme="minorHAnsi" w:hAnsiTheme="minorHAnsi" w:cstheme="minorBidi"/>
        </w:rPr>
      </w:pPr>
      <w:r>
        <w:rPr>
          <w:rFonts w:asciiTheme="minorHAnsi" w:hAnsiTheme="minorHAnsi" w:cstheme="minorBidi"/>
        </w:rPr>
        <w:t>The following describes the work of the Senate on this topic since 2018:</w:t>
      </w:r>
    </w:p>
    <w:p w14:paraId="37D201EB" w14:textId="77777777" w:rsidR="00F7514B" w:rsidRDefault="00F7514B" w:rsidP="00F7514B"/>
    <w:p w14:paraId="0EA069CB"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286988">
        <w:rPr>
          <w:rFonts w:asciiTheme="minorHAnsi" w:hAnsiTheme="minorHAnsi" w:cstheme="minorHAnsi"/>
        </w:rPr>
        <w:t xml:space="preserve">In May 2018 the Senate approved </w:t>
      </w:r>
      <w:hyperlink r:id="rId4" w:history="1">
        <w:r w:rsidRPr="00286988">
          <w:rPr>
            <w:rStyle w:val="Hyperlink"/>
            <w:rFonts w:asciiTheme="minorHAnsi" w:hAnsiTheme="minorHAnsi" w:cstheme="minorHAnsi"/>
          </w:rPr>
          <w:t>motion 17/18-19</w:t>
        </w:r>
      </w:hyperlink>
      <w:r w:rsidRPr="00286988">
        <w:rPr>
          <w:rFonts w:asciiTheme="minorHAnsi" w:hAnsiTheme="minorHAnsi" w:cstheme="minorHAnsi"/>
        </w:rPr>
        <w:t xml:space="preserve"> adopting the Continuous Improvement and Evaluation of Teaching System, which included a centrally administered midway Student Experience Survey (results only available to instructors) and course-level Instructor Reflection survey (results included in instructors’ files), and forming and charging a standing committee with developing a new end-of-course Student Experience Survey and addressing other issues related to the context, policy, and tools used in teaching evaluation.</w:t>
      </w:r>
    </w:p>
    <w:p w14:paraId="3B0746EB"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21388BBA" w14:textId="77777777" w:rsidR="00F7514B"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rPr>
      </w:pPr>
      <w:r w:rsidRPr="27FE1516">
        <w:rPr>
          <w:rFonts w:asciiTheme="minorHAnsi" w:hAnsiTheme="minorHAnsi" w:cstheme="minorBidi"/>
        </w:rPr>
        <w:t xml:space="preserve">In April 2019 the Senate approved </w:t>
      </w:r>
      <w:hyperlink r:id="rId5">
        <w:r w:rsidRPr="27FE1516">
          <w:rPr>
            <w:rStyle w:val="Hyperlink"/>
            <w:rFonts w:asciiTheme="minorHAnsi" w:hAnsiTheme="minorHAnsi" w:cstheme="minorBidi"/>
          </w:rPr>
          <w:t>motion 18/19-14</w:t>
        </w:r>
      </w:hyperlink>
      <w:r w:rsidRPr="27FE1516">
        <w:rPr>
          <w:rFonts w:asciiTheme="minorHAnsi" w:hAnsiTheme="minorHAnsi" w:cstheme="minorBidi"/>
        </w:rPr>
        <w:t xml:space="preserve"> to replace ‘Course Evaluations’ with the new ‘Student Experience Surveys’ with learning-focused questions that are aligned with the teaching quality standards of professional, inclusive, and research-informed.</w:t>
      </w:r>
    </w:p>
    <w:p w14:paraId="115516B2" w14:textId="77777777" w:rsidR="00F7514B"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rPr>
      </w:pPr>
    </w:p>
    <w:p w14:paraId="08546004" w14:textId="62E5F8D7" w:rsidR="00F7514B" w:rsidRPr="006A1AA2" w:rsidRDefault="00F7514B" w:rsidP="00F7514B">
      <w:pPr>
        <w:rPr>
          <w:rFonts w:ascii="Calibri" w:eastAsia="Calibri" w:hAnsi="Calibri" w:cs="Calibri"/>
          <w:color w:val="000000" w:themeColor="text1"/>
        </w:rPr>
      </w:pPr>
      <w:r w:rsidRPr="131855AD">
        <w:rPr>
          <w:rFonts w:ascii="Calibri" w:eastAsia="Calibri" w:hAnsi="Calibri" w:cs="Calibri"/>
          <w:color w:val="000000" w:themeColor="text1"/>
        </w:rPr>
        <w:t xml:space="preserve">A 2019 United Academics/UO </w:t>
      </w:r>
      <w:hyperlink r:id="rId6">
        <w:r w:rsidRPr="131855AD">
          <w:rPr>
            <w:rStyle w:val="Hyperlink"/>
            <w:rFonts w:ascii="Calibri" w:eastAsia="Calibri" w:hAnsi="Calibri" w:cs="Calibri"/>
            <w:color w:val="000000" w:themeColor="text1"/>
            <w:u w:val="none"/>
          </w:rPr>
          <w:t>Memorandum of Understanding</w:t>
        </w:r>
      </w:hyperlink>
      <w:r w:rsidRPr="131855AD">
        <w:rPr>
          <w:rFonts w:ascii="Calibri" w:eastAsia="Calibri" w:hAnsi="Calibri" w:cs="Calibri"/>
          <w:color w:val="000000" w:themeColor="text1"/>
        </w:rPr>
        <w:t xml:space="preserve"> (MOU) named professional, inclusive, engaged and research-informed teaching standards and baseline conditions for use in formal teaching evaluation. </w:t>
      </w:r>
      <w:r>
        <w:t>T</w:t>
      </w:r>
      <w:r w:rsidRPr="131855AD">
        <w:rPr>
          <w:rFonts w:ascii="Calibri" w:eastAsia="Calibri" w:hAnsi="Calibri" w:cs="Calibri"/>
          <w:color w:val="000000" w:themeColor="text1"/>
        </w:rPr>
        <w:t>he MOU encourages academic units to translate these standards into their specific disciplinary contexts</w:t>
      </w:r>
      <w:r>
        <w:rPr>
          <w:rFonts w:ascii="Calibri" w:eastAsia="Calibri" w:hAnsi="Calibri" w:cs="Calibri"/>
          <w:color w:val="000000" w:themeColor="text1"/>
        </w:rPr>
        <w:t xml:space="preserve"> (see attached Teaching Evaluation Criteria</w:t>
      </w:r>
      <w:r w:rsidR="00FC6429">
        <w:rPr>
          <w:rFonts w:ascii="Calibri" w:eastAsia="Calibri" w:hAnsi="Calibri" w:cs="Calibri"/>
          <w:color w:val="000000" w:themeColor="text1"/>
        </w:rPr>
        <w:t xml:space="preserve"> described below</w:t>
      </w:r>
      <w:r>
        <w:rPr>
          <w:rFonts w:ascii="Calibri" w:eastAsia="Calibri" w:hAnsi="Calibri" w:cs="Calibri"/>
          <w:color w:val="000000" w:themeColor="text1"/>
        </w:rPr>
        <w:t>)</w:t>
      </w:r>
      <w:r w:rsidR="00FC6429">
        <w:rPr>
          <w:rFonts w:ascii="Calibri" w:eastAsia="Calibri" w:hAnsi="Calibri" w:cs="Calibri"/>
          <w:color w:val="000000" w:themeColor="text1"/>
        </w:rPr>
        <w:t>.</w:t>
      </w:r>
    </w:p>
    <w:p w14:paraId="27F43985"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5F4F6268"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286988">
        <w:rPr>
          <w:rFonts w:asciiTheme="minorHAnsi" w:hAnsiTheme="minorHAnsi" w:cstheme="minorHAnsi"/>
        </w:rPr>
        <w:t>In Fall 2019 the new Continuous Improvement and Evaluation of Teaching System tools, including the new midway Student Experience Survey (</w:t>
      </w:r>
      <w:hyperlink r:id="rId7" w:history="1">
        <w:r w:rsidRPr="00286988">
          <w:rPr>
            <w:rStyle w:val="Hyperlink"/>
            <w:rFonts w:asciiTheme="minorHAnsi" w:hAnsiTheme="minorHAnsi" w:cstheme="minorHAnsi"/>
          </w:rPr>
          <w:t>M-SES</w:t>
        </w:r>
      </w:hyperlink>
      <w:r w:rsidRPr="00286988">
        <w:rPr>
          <w:rFonts w:asciiTheme="minorHAnsi" w:hAnsiTheme="minorHAnsi" w:cstheme="minorHAnsi"/>
        </w:rPr>
        <w:t>), end-of-course Student Experience Survey (</w:t>
      </w:r>
      <w:hyperlink r:id="rId8" w:history="1">
        <w:r w:rsidRPr="00286988">
          <w:rPr>
            <w:rStyle w:val="Hyperlink"/>
            <w:rFonts w:asciiTheme="minorHAnsi" w:hAnsiTheme="minorHAnsi" w:cstheme="minorHAnsi"/>
          </w:rPr>
          <w:t>E-SES</w:t>
        </w:r>
      </w:hyperlink>
      <w:r w:rsidRPr="00286988">
        <w:rPr>
          <w:rFonts w:asciiTheme="minorHAnsi" w:hAnsiTheme="minorHAnsi" w:cstheme="minorHAnsi"/>
        </w:rPr>
        <w:t>) and Instructor Reflection (</w:t>
      </w:r>
      <w:hyperlink r:id="rId9" w:history="1">
        <w:r w:rsidRPr="00286988">
          <w:rPr>
            <w:rStyle w:val="Hyperlink"/>
            <w:rFonts w:asciiTheme="minorHAnsi" w:hAnsiTheme="minorHAnsi" w:cstheme="minorHAnsi"/>
          </w:rPr>
          <w:t>IR</w:t>
        </w:r>
      </w:hyperlink>
      <w:r w:rsidRPr="00286988">
        <w:rPr>
          <w:rFonts w:asciiTheme="minorHAnsi" w:hAnsiTheme="minorHAnsi" w:cstheme="minorHAnsi"/>
        </w:rPr>
        <w:t>) were deployed campus wide.</w:t>
      </w:r>
    </w:p>
    <w:p w14:paraId="037F0760"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3B4AAE50" w14:textId="77777777" w:rsidR="00F7514B" w:rsidRPr="00286988" w:rsidRDefault="00F7514B" w:rsidP="00F7514B">
      <w:pPr>
        <w:rPr>
          <w:rFonts w:asciiTheme="minorHAnsi" w:hAnsiTheme="minorHAnsi" w:cstheme="minorHAnsi"/>
        </w:rPr>
      </w:pPr>
      <w:r w:rsidRPr="00286988">
        <w:rPr>
          <w:rFonts w:asciiTheme="minorHAnsi" w:hAnsiTheme="minorHAnsi" w:cstheme="minorHAnsi"/>
        </w:rPr>
        <w:t>The 2018/19 and the 2019/20 Teaching Excellence and Evaluation Community Accelerating the Impact of Teaching (CAIT), with faculty representation from all schools and colleges, conducted proof-of-concept testing and iteration of the Teaching Evaluation Criteria and new Teaching Evaluation Reports for tenure and promotion.</w:t>
      </w:r>
    </w:p>
    <w:p w14:paraId="3B0E14FF" w14:textId="77777777" w:rsidR="00F7514B" w:rsidRPr="00286988" w:rsidRDefault="00F7514B" w:rsidP="00F7514B">
      <w:pPr>
        <w:rPr>
          <w:rFonts w:asciiTheme="minorHAnsi" w:hAnsiTheme="minorHAnsi" w:cstheme="minorHAnsi"/>
        </w:rPr>
      </w:pPr>
    </w:p>
    <w:p w14:paraId="26483DA0" w14:textId="46D9115A" w:rsidR="00F7514B" w:rsidRPr="00286988" w:rsidRDefault="00F7514B" w:rsidP="00F7514B">
      <w:pPr>
        <w:rPr>
          <w:rFonts w:asciiTheme="minorHAnsi" w:hAnsiTheme="minorHAnsi" w:cstheme="minorBidi"/>
        </w:rPr>
      </w:pPr>
      <w:r w:rsidRPr="433E89B2">
        <w:rPr>
          <w:rFonts w:asciiTheme="minorHAnsi" w:hAnsiTheme="minorHAnsi" w:cstheme="minorBidi"/>
        </w:rPr>
        <w:t xml:space="preserve">In February 2020 unit/department heads were provided with the </w:t>
      </w:r>
      <w:hyperlink r:id="rId10">
        <w:r w:rsidRPr="433E89B2">
          <w:rPr>
            <w:rStyle w:val="Hyperlink"/>
            <w:rFonts w:asciiTheme="minorHAnsi" w:hAnsiTheme="minorHAnsi" w:cstheme="minorBidi"/>
          </w:rPr>
          <w:t>Teaching Evaluation Criteria</w:t>
        </w:r>
      </w:hyperlink>
      <w:r w:rsidRPr="433E89B2">
        <w:rPr>
          <w:rFonts w:asciiTheme="minorHAnsi" w:hAnsiTheme="minorHAnsi" w:cstheme="minorBidi"/>
        </w:rPr>
        <w:t xml:space="preserve"> </w:t>
      </w:r>
      <w:r w:rsidR="00982D8C">
        <w:rPr>
          <w:rFonts w:asciiTheme="minorHAnsi" w:hAnsiTheme="minorHAnsi" w:cstheme="minorBidi"/>
        </w:rPr>
        <w:t xml:space="preserve">(attached) </w:t>
      </w:r>
      <w:r w:rsidRPr="433E89B2">
        <w:rPr>
          <w:rFonts w:asciiTheme="minorHAnsi" w:hAnsiTheme="minorHAnsi" w:cstheme="minorBidi"/>
        </w:rPr>
        <w:t>with instructions regarding the process of unit-level modification</w:t>
      </w:r>
      <w:r>
        <w:rPr>
          <w:rFonts w:asciiTheme="minorHAnsi" w:hAnsiTheme="minorHAnsi" w:cstheme="minorBidi"/>
        </w:rPr>
        <w:t xml:space="preserve"> </w:t>
      </w:r>
      <w:r w:rsidRPr="00C14B39">
        <w:rPr>
          <w:rFonts w:asciiTheme="minorHAnsi" w:hAnsiTheme="minorHAnsi" w:cstheme="minorBidi"/>
        </w:rPr>
        <w:t>in accordance with the August 2019 MOU and 2020 codicil with United Academics</w:t>
      </w:r>
      <w:r w:rsidRPr="433E89B2">
        <w:rPr>
          <w:rFonts w:asciiTheme="minorHAnsi" w:hAnsiTheme="minorHAnsi" w:cstheme="minorBidi"/>
        </w:rPr>
        <w:t>.</w:t>
      </w:r>
    </w:p>
    <w:p w14:paraId="3C70E570" w14:textId="77777777" w:rsidR="00F7514B" w:rsidRDefault="00F7514B" w:rsidP="00F7514B"/>
    <w:p w14:paraId="521ECA03" w14:textId="77777777" w:rsidR="00F7514B" w:rsidRPr="00286988" w:rsidRDefault="00F7514B" w:rsidP="00F7514B">
      <w:pPr>
        <w:rPr>
          <w:rFonts w:asciiTheme="minorHAnsi" w:hAnsiTheme="minorHAnsi" w:cstheme="minorBidi"/>
        </w:rPr>
      </w:pPr>
      <w:r w:rsidRPr="3282481F">
        <w:rPr>
          <w:rFonts w:asciiTheme="minorHAnsi" w:hAnsiTheme="minorHAnsi" w:cstheme="minorBidi"/>
        </w:rPr>
        <w:t>In September 2020 the Provost’s Office created new reports which were accessed by academic unit managers via Cognos and included in faculty tenure or promotion files for Fall 2020. These new Reports replaced the numerical mean student ratings previously</w:t>
      </w:r>
      <w:r>
        <w:rPr>
          <w:rFonts w:asciiTheme="minorHAnsi" w:hAnsiTheme="minorHAnsi" w:cstheme="minorBidi"/>
        </w:rPr>
        <w:t xml:space="preserve"> </w:t>
      </w:r>
      <w:r w:rsidRPr="3282481F">
        <w:rPr>
          <w:rFonts w:asciiTheme="minorHAnsi" w:hAnsiTheme="minorHAnsi" w:cstheme="minorBidi"/>
        </w:rPr>
        <w:t>provided by the Registrar’s Office (P&amp;T Reports), as required by section 2.8 of Senate motion 18/19-14.</w:t>
      </w:r>
    </w:p>
    <w:p w14:paraId="0238A425" w14:textId="77777777" w:rsidR="00F7514B" w:rsidRDefault="00F7514B" w:rsidP="00F7514B">
      <w:pPr>
        <w:rPr>
          <w:rFonts w:asciiTheme="minorHAnsi" w:hAnsiTheme="minorHAnsi" w:cstheme="minorBidi"/>
        </w:rPr>
      </w:pPr>
    </w:p>
    <w:p w14:paraId="51FDC4C1" w14:textId="77777777" w:rsidR="00F7514B" w:rsidRDefault="00F7514B" w:rsidP="00F7514B">
      <w:pPr>
        <w:ind w:left="720"/>
        <w:rPr>
          <w:rFonts w:asciiTheme="minorHAnsi" w:hAnsiTheme="minorHAnsi" w:cstheme="minorBidi"/>
        </w:rPr>
      </w:pPr>
      <w:r w:rsidRPr="3282481F">
        <w:rPr>
          <w:rFonts w:asciiTheme="minorHAnsi" w:hAnsiTheme="minorHAnsi" w:cstheme="minorBidi"/>
        </w:rPr>
        <w:t>a) Teaching Overview Report: includes a list of all courses taught during the review period, summary data from numerical student Course Evaluations 2008-2019, and summary data from Student Experience Surveys Fall 2019-present.</w:t>
      </w:r>
    </w:p>
    <w:p w14:paraId="0F720B7E" w14:textId="77777777" w:rsidR="00F7514B" w:rsidRDefault="00F7514B" w:rsidP="00F7514B">
      <w:pPr>
        <w:ind w:left="720"/>
        <w:rPr>
          <w:rFonts w:asciiTheme="minorHAnsi" w:hAnsiTheme="minorHAnsi" w:cstheme="minorBidi"/>
        </w:rPr>
      </w:pPr>
    </w:p>
    <w:p w14:paraId="252F900E" w14:textId="77777777" w:rsidR="00F7514B" w:rsidRDefault="00F7514B" w:rsidP="00F7514B">
      <w:pPr>
        <w:ind w:left="720"/>
      </w:pPr>
      <w:r w:rsidRPr="3282481F">
        <w:rPr>
          <w:rFonts w:asciiTheme="minorHAnsi" w:hAnsiTheme="minorHAnsi" w:cstheme="minorBidi"/>
        </w:rPr>
        <w:lastRenderedPageBreak/>
        <w:t xml:space="preserve">b) Teaching Detail Report: includes all completed Instructor Reflections and detailed Student Experience Survey results from all courses as from Fall 2019-present. </w:t>
      </w:r>
      <w:r w:rsidRPr="69C97621">
        <w:rPr>
          <w:rFonts w:ascii="Calibri" w:eastAsia="Calibri" w:hAnsi="Calibri" w:cs="Calibri"/>
          <w:color w:val="000000" w:themeColor="text1"/>
          <w:sz w:val="22"/>
          <w:szCs w:val="22"/>
        </w:rPr>
        <w:t xml:space="preserve"> </w:t>
      </w:r>
    </w:p>
    <w:p w14:paraId="2CB6342A" w14:textId="77777777" w:rsidR="00F7514B" w:rsidRDefault="00F7514B" w:rsidP="00F7514B"/>
    <w:p w14:paraId="3313AB44" w14:textId="77777777" w:rsidR="00F7514B" w:rsidRDefault="00F7514B"/>
    <w:sectPr w:rsidR="00F75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4B"/>
    <w:rsid w:val="00587A2C"/>
    <w:rsid w:val="00982D8C"/>
    <w:rsid w:val="00A262D6"/>
    <w:rsid w:val="00C9295F"/>
    <w:rsid w:val="00F7514B"/>
    <w:rsid w:val="00FC6429"/>
    <w:rsid w:val="424A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5764"/>
  <w15:chartTrackingRefBased/>
  <w15:docId w15:val="{E8CA3227-79DB-5549-B36B-E1BDE33B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7514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514B"/>
    <w:rPr>
      <w:sz w:val="20"/>
      <w:szCs w:val="20"/>
    </w:rPr>
  </w:style>
  <w:style w:type="character" w:styleId="CommentReference">
    <w:name w:val="annotation reference"/>
    <w:basedOn w:val="DefaultParagraphFont"/>
    <w:uiPriority w:val="99"/>
    <w:semiHidden/>
    <w:unhideWhenUsed/>
    <w:rsid w:val="00F7514B"/>
    <w:rPr>
      <w:sz w:val="16"/>
      <w:szCs w:val="16"/>
    </w:rPr>
  </w:style>
  <w:style w:type="character" w:styleId="Hyperlink">
    <w:name w:val="Hyperlink"/>
    <w:basedOn w:val="DefaultParagraphFont"/>
    <w:uiPriority w:val="99"/>
    <w:unhideWhenUsed/>
    <w:rsid w:val="00F7514B"/>
    <w:rPr>
      <w:color w:val="0563C1" w:themeColor="hyperlink"/>
      <w:u w:val="single"/>
    </w:rPr>
  </w:style>
  <w:style w:type="paragraph" w:styleId="BalloonText">
    <w:name w:val="Balloon Text"/>
    <w:basedOn w:val="Normal"/>
    <w:link w:val="BalloonTextChar"/>
    <w:uiPriority w:val="99"/>
    <w:semiHidden/>
    <w:unhideWhenUsed/>
    <w:rsid w:val="00F7514B"/>
    <w:rPr>
      <w:sz w:val="18"/>
      <w:szCs w:val="18"/>
    </w:rPr>
  </w:style>
  <w:style w:type="character" w:customStyle="1" w:styleId="BalloonTextChar">
    <w:name w:val="Balloon Text Char"/>
    <w:basedOn w:val="DefaultParagraphFont"/>
    <w:link w:val="BalloonText"/>
    <w:uiPriority w:val="99"/>
    <w:semiHidden/>
    <w:rsid w:val="00F7514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qualtrics.com/jfe/form/SV_6eZHlDvtdKmbAdn" TargetMode="External"/><Relationship Id="rId3" Type="http://schemas.openxmlformats.org/officeDocument/2006/relationships/webSettings" Target="webSettings.xml"/><Relationship Id="rId7" Type="http://schemas.openxmlformats.org/officeDocument/2006/relationships/hyperlink" Target="https://provost.uoregon.edu/files/m-ses_8-30-19.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ierra\Downloads\course_evaluations_mou_0-5.pdf" TargetMode="External"/><Relationship Id="rId11" Type="http://schemas.openxmlformats.org/officeDocument/2006/relationships/fontTable" Target="fontTable.xml"/><Relationship Id="rId5" Type="http://schemas.openxmlformats.org/officeDocument/2006/relationships/hyperlink" Target="https://senate.uoregon.edu/entry/?Motions=US18/19-14" TargetMode="External"/><Relationship Id="rId10" Type="http://schemas.openxmlformats.org/officeDocument/2006/relationships/hyperlink" Target="https://provost.uoregon.edu/sites/provost2.uoregon.edu/files/uo_teaching_evaluation_criteria_9-23-2020.docx" TargetMode="External"/><Relationship Id="rId4" Type="http://schemas.openxmlformats.org/officeDocument/2006/relationships/hyperlink" Target="https://senate.uoregon.edu/entry/?Motions=US17/18-19" TargetMode="External"/><Relationship Id="rId9" Type="http://schemas.openxmlformats.org/officeDocument/2006/relationships/hyperlink" Target="https://provost.uoregon.edu/files/ir_fall20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Dawson</dc:creator>
  <cp:keywords/>
  <dc:description/>
  <cp:lastModifiedBy>Betina Lynn</cp:lastModifiedBy>
  <cp:revision>2</cp:revision>
  <dcterms:created xsi:type="dcterms:W3CDTF">2021-01-05T23:57:00Z</dcterms:created>
  <dcterms:modified xsi:type="dcterms:W3CDTF">2021-01-05T23:57:00Z</dcterms:modified>
</cp:coreProperties>
</file>