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37" w:rsidRDefault="00B25737" w:rsidP="00B25737">
      <w:bookmarkStart w:id="0" w:name="SampleMOATemplate49"/>
      <w:r>
        <w:rPr>
          <w:noProof/>
        </w:rPr>
        <w:drawing>
          <wp:anchor distT="0" distB="0" distL="114300" distR="114300" simplePos="0" relativeHeight="251659264" behindDoc="0" locked="0" layoutInCell="1" allowOverlap="1" wp14:anchorId="3BEB5936" wp14:editId="4ECA3AB1">
            <wp:simplePos x="0" y="0"/>
            <wp:positionH relativeFrom="page">
              <wp:posOffset>696747</wp:posOffset>
            </wp:positionH>
            <wp:positionV relativeFrom="paragraph">
              <wp:posOffset>487130</wp:posOffset>
            </wp:positionV>
            <wp:extent cx="6671945" cy="96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" t="-3912" r="1019" b="29280"/>
                    <a:stretch/>
                  </pic:blipFill>
                  <pic:spPr bwMode="auto">
                    <a:xfrm>
                      <a:off x="0" y="0"/>
                      <a:ext cx="6671945" cy="9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25340722" wp14:editId="58026A02">
            <wp:extent cx="1951630" cy="437295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69" cy="44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ADA" w:rsidRPr="00425025" w:rsidRDefault="002B6ADA" w:rsidP="0067556C">
      <w:pPr>
        <w:spacing w:after="0"/>
        <w:rPr>
          <w:rFonts w:ascii="Cambria" w:hAnsi="Cambria" w:cstheme="minorHAnsi"/>
          <w:b/>
          <w:sz w:val="22"/>
        </w:rPr>
      </w:pPr>
    </w:p>
    <w:p w:rsidR="002B6ADA" w:rsidRPr="00C33F0E" w:rsidRDefault="002B6ADA" w:rsidP="00C33F0E">
      <w:pPr>
        <w:spacing w:after="0"/>
        <w:jc w:val="center"/>
        <w:rPr>
          <w:rFonts w:ascii="Cambria" w:hAnsi="Cambria" w:cstheme="minorHAnsi"/>
          <w:i/>
          <w:sz w:val="22"/>
        </w:rPr>
      </w:pPr>
      <w:r w:rsidRPr="002B6ADA">
        <w:rPr>
          <w:rFonts w:ascii="Cambria" w:hAnsi="Cambria" w:cstheme="minorHAnsi"/>
          <w:i/>
          <w:sz w:val="22"/>
        </w:rPr>
        <w:t>Help Request</w:t>
      </w:r>
    </w:p>
    <w:p w:rsidR="002B6ADA" w:rsidRDefault="006D3607" w:rsidP="002B6ADA">
      <w:pPr>
        <w:spacing w:after="0"/>
        <w:jc w:val="center"/>
        <w:rPr>
          <w:rFonts w:ascii="Cambria" w:hAnsi="Cambria" w:cstheme="minorHAnsi"/>
          <w:b/>
          <w:sz w:val="22"/>
        </w:rPr>
      </w:pPr>
      <w:r>
        <w:rPr>
          <w:rFonts w:ascii="Cambria" w:hAnsi="Cambria" w:cstheme="minorHAnsi"/>
          <w:b/>
          <w:sz w:val="22"/>
        </w:rPr>
        <w:t xml:space="preserve">Demographics </w:t>
      </w:r>
      <w:proofErr w:type="spellStart"/>
      <w:r w:rsidR="00C33F0E">
        <w:rPr>
          <w:rFonts w:ascii="Cambria" w:hAnsi="Cambria" w:cstheme="minorHAnsi"/>
          <w:b/>
          <w:sz w:val="22"/>
        </w:rPr>
        <w:t>Tarea</w:t>
      </w:r>
      <w:proofErr w:type="spellEnd"/>
      <w:r w:rsidR="00C33F0E">
        <w:rPr>
          <w:rFonts w:ascii="Cambria" w:hAnsi="Cambria" w:cstheme="minorHAnsi"/>
          <w:b/>
          <w:sz w:val="22"/>
        </w:rPr>
        <w:t xml:space="preserve"> Time</w:t>
      </w:r>
      <w:r w:rsidR="00D930E2">
        <w:rPr>
          <w:rFonts w:ascii="Cambria" w:hAnsi="Cambria" w:cstheme="minorHAnsi"/>
          <w:b/>
          <w:sz w:val="22"/>
        </w:rPr>
        <w:t xml:space="preserve"> </w:t>
      </w:r>
      <w:r w:rsidR="00CF719C">
        <w:rPr>
          <w:rFonts w:ascii="Cambria" w:hAnsi="Cambria" w:cstheme="minorHAnsi"/>
          <w:b/>
          <w:sz w:val="22"/>
        </w:rPr>
        <w:t>Fall 2017</w:t>
      </w:r>
      <w:r w:rsidR="00035FEC">
        <w:rPr>
          <w:rFonts w:ascii="Cambria" w:hAnsi="Cambria" w:cstheme="minorHAnsi"/>
          <w:b/>
          <w:sz w:val="22"/>
        </w:rPr>
        <w:t xml:space="preserve"> &amp; </w:t>
      </w:r>
      <w:proofErr w:type="gramStart"/>
      <w:r w:rsidR="00035FEC">
        <w:rPr>
          <w:rFonts w:ascii="Cambria" w:hAnsi="Cambria" w:cstheme="minorHAnsi"/>
          <w:b/>
          <w:sz w:val="22"/>
        </w:rPr>
        <w:t>Winter</w:t>
      </w:r>
      <w:proofErr w:type="gramEnd"/>
      <w:r w:rsidR="00035FEC">
        <w:rPr>
          <w:rFonts w:ascii="Cambria" w:hAnsi="Cambria" w:cstheme="minorHAnsi"/>
          <w:b/>
          <w:sz w:val="22"/>
        </w:rPr>
        <w:t xml:space="preserve"> 2018</w:t>
      </w:r>
    </w:p>
    <w:p w:rsidR="00592C90" w:rsidRDefault="00592C90" w:rsidP="00592C90">
      <w:pPr>
        <w:spacing w:after="0"/>
        <w:rPr>
          <w:rFonts w:ascii="Cambria" w:hAnsi="Cambria" w:cstheme="minorHAnsi"/>
          <w:sz w:val="22"/>
        </w:rPr>
      </w:pPr>
    </w:p>
    <w:p w:rsidR="00592C90" w:rsidRDefault="00592C90" w:rsidP="00592C90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Dear Sam,</w:t>
      </w:r>
    </w:p>
    <w:p w:rsidR="00592C90" w:rsidRDefault="00592C90" w:rsidP="00592C90">
      <w:pPr>
        <w:spacing w:after="0"/>
        <w:rPr>
          <w:rFonts w:ascii="Cambria" w:hAnsi="Cambria" w:cstheme="minorHAnsi"/>
          <w:sz w:val="22"/>
        </w:rPr>
      </w:pPr>
    </w:p>
    <w:p w:rsidR="00592C90" w:rsidRDefault="00592C90" w:rsidP="00592C90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Thank you for contacting OAR for support. Below is what we are able to provide.</w:t>
      </w:r>
    </w:p>
    <w:p w:rsidR="00592C90" w:rsidRDefault="00592C90" w:rsidP="00592C90">
      <w:pPr>
        <w:spacing w:after="0"/>
        <w:rPr>
          <w:rFonts w:ascii="Cambria" w:hAnsi="Cambria" w:cstheme="minorHAnsi"/>
          <w:sz w:val="22"/>
        </w:rPr>
      </w:pPr>
    </w:p>
    <w:p w:rsidR="00592C90" w:rsidRPr="00592C90" w:rsidRDefault="00592C90" w:rsidP="00592C90">
      <w:pPr>
        <w:spacing w:after="0"/>
        <w:rPr>
          <w:rFonts w:ascii="Cambria" w:hAnsi="Cambria" w:cstheme="minorHAnsi"/>
          <w:b/>
          <w:sz w:val="22"/>
        </w:rPr>
      </w:pPr>
      <w:r>
        <w:rPr>
          <w:rFonts w:ascii="Cambria" w:hAnsi="Cambria" w:cstheme="minorHAnsi"/>
          <w:b/>
          <w:sz w:val="22"/>
        </w:rPr>
        <w:t>The Data</w:t>
      </w:r>
    </w:p>
    <w:p w:rsidR="00CF719C" w:rsidRPr="00945CFB" w:rsidRDefault="00C33F0E" w:rsidP="00592C90">
      <w:pPr>
        <w:spacing w:after="0"/>
        <w:rPr>
          <w:rFonts w:ascii="Cambria" w:hAnsi="Cambria" w:cstheme="minorHAnsi"/>
          <w:i/>
          <w:sz w:val="22"/>
        </w:rPr>
      </w:pPr>
      <w:proofErr w:type="spellStart"/>
      <w:r>
        <w:rPr>
          <w:rFonts w:ascii="Cambria" w:hAnsi="Cambria" w:cstheme="minorHAnsi"/>
          <w:i/>
          <w:sz w:val="22"/>
        </w:rPr>
        <w:t>Tarea</w:t>
      </w:r>
      <w:proofErr w:type="spellEnd"/>
      <w:r>
        <w:rPr>
          <w:rFonts w:ascii="Cambria" w:hAnsi="Cambria" w:cstheme="minorHAnsi"/>
          <w:i/>
          <w:sz w:val="22"/>
        </w:rPr>
        <w:t xml:space="preserve"> Time</w:t>
      </w:r>
    </w:p>
    <w:p w:rsidR="00080B41" w:rsidRDefault="00C33F0E" w:rsidP="00592C90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49</w:t>
      </w:r>
      <w:r w:rsidR="00592C90">
        <w:rPr>
          <w:rFonts w:ascii="Cambria" w:hAnsi="Cambria" w:cstheme="minorHAnsi"/>
          <w:sz w:val="22"/>
        </w:rPr>
        <w:t xml:space="preserve"> ID numbers collected via </w:t>
      </w:r>
      <w:proofErr w:type="spellStart"/>
      <w:r>
        <w:rPr>
          <w:rFonts w:ascii="Cambria" w:hAnsi="Cambria" w:cstheme="minorHAnsi"/>
          <w:sz w:val="22"/>
        </w:rPr>
        <w:t>Tarea</w:t>
      </w:r>
      <w:proofErr w:type="spellEnd"/>
      <w:r>
        <w:rPr>
          <w:rFonts w:ascii="Cambria" w:hAnsi="Cambria" w:cstheme="minorHAnsi"/>
          <w:sz w:val="22"/>
        </w:rPr>
        <w:t xml:space="preserve"> Time </w:t>
      </w:r>
      <w:r w:rsidR="00080B41">
        <w:rPr>
          <w:rFonts w:ascii="Cambria" w:hAnsi="Cambria" w:cstheme="minorHAnsi"/>
          <w:sz w:val="22"/>
        </w:rPr>
        <w:t>attendance</w:t>
      </w:r>
      <w:r w:rsidR="00592C90">
        <w:rPr>
          <w:rFonts w:ascii="Cambria" w:hAnsi="Cambria" w:cstheme="minorHAnsi"/>
          <w:sz w:val="22"/>
        </w:rPr>
        <w:t xml:space="preserve"> from </w:t>
      </w:r>
      <w:r w:rsidR="00080B41">
        <w:rPr>
          <w:rFonts w:ascii="Cambria" w:hAnsi="Cambria" w:cstheme="minorHAnsi"/>
          <w:sz w:val="22"/>
        </w:rPr>
        <w:t>Fall 2017</w:t>
      </w:r>
      <w:r>
        <w:rPr>
          <w:rFonts w:ascii="Cambria" w:hAnsi="Cambria" w:cstheme="minorHAnsi"/>
          <w:sz w:val="22"/>
        </w:rPr>
        <w:t xml:space="preserve"> and 23 ID numbers from Winter 2018</w:t>
      </w:r>
      <w:r w:rsidR="00592C90">
        <w:rPr>
          <w:rFonts w:ascii="Cambria" w:hAnsi="Cambria" w:cstheme="minorHAnsi"/>
          <w:sz w:val="22"/>
        </w:rPr>
        <w:t xml:space="preserve"> and were matched to student records data on the following variables: gender (Female, Male, Not Reported),</w:t>
      </w:r>
      <w:r w:rsidR="00592C90" w:rsidRPr="00CF64B9">
        <w:rPr>
          <w:rFonts w:ascii="Cambria" w:hAnsi="Cambria" w:cstheme="minorHAnsi"/>
          <w:sz w:val="22"/>
        </w:rPr>
        <w:t xml:space="preserve"> </w:t>
      </w:r>
      <w:r w:rsidR="00592C90">
        <w:rPr>
          <w:rFonts w:ascii="Cambria" w:hAnsi="Cambria" w:cstheme="minorHAnsi"/>
          <w:sz w:val="22"/>
        </w:rPr>
        <w:t>international status (International, US),</w:t>
      </w:r>
      <w:r w:rsidR="00592C90" w:rsidRPr="00CF64B9">
        <w:rPr>
          <w:rFonts w:ascii="Cambria" w:hAnsi="Cambria" w:cstheme="minorHAnsi"/>
          <w:sz w:val="22"/>
        </w:rPr>
        <w:t xml:space="preserve"> </w:t>
      </w:r>
      <w:r w:rsidR="00592C90">
        <w:rPr>
          <w:rFonts w:ascii="Cambria" w:hAnsi="Cambria" w:cstheme="minorHAnsi"/>
          <w:sz w:val="22"/>
        </w:rPr>
        <w:t>federal race/ethnicity categories (</w:t>
      </w:r>
      <w:r w:rsidR="00A95832">
        <w:rPr>
          <w:rFonts w:ascii="Cambria" w:hAnsi="Cambria" w:cstheme="minorHAnsi"/>
          <w:sz w:val="22"/>
        </w:rPr>
        <w:t xml:space="preserve">Students of Color: </w:t>
      </w:r>
      <w:r w:rsidR="00592C90">
        <w:rPr>
          <w:rFonts w:ascii="Cambria" w:hAnsi="Cambria" w:cstheme="minorHAnsi"/>
          <w:sz w:val="22"/>
        </w:rPr>
        <w:t>American Indian or Alaska Native, Asian, Black or African American, Hispanic or Latino, Native Hawaiian or Other Paci</w:t>
      </w:r>
      <w:r w:rsidR="00A95832">
        <w:rPr>
          <w:rFonts w:ascii="Cambria" w:hAnsi="Cambria" w:cstheme="minorHAnsi"/>
          <w:sz w:val="22"/>
        </w:rPr>
        <w:t>fic Islander, Two or more races;</w:t>
      </w:r>
      <w:r w:rsidR="00592C90">
        <w:rPr>
          <w:rFonts w:ascii="Cambria" w:hAnsi="Cambria" w:cstheme="minorHAnsi"/>
          <w:sz w:val="22"/>
        </w:rPr>
        <w:t xml:space="preserve"> White</w:t>
      </w:r>
      <w:r w:rsidR="00A95832">
        <w:rPr>
          <w:rFonts w:ascii="Cambria" w:hAnsi="Cambria" w:cstheme="minorHAnsi"/>
          <w:sz w:val="22"/>
        </w:rPr>
        <w:t>; Not Reported;</w:t>
      </w:r>
      <w:r w:rsidR="00592C90">
        <w:rPr>
          <w:rFonts w:ascii="Cambria" w:hAnsi="Cambria" w:cstheme="minorHAnsi"/>
          <w:sz w:val="22"/>
        </w:rPr>
        <w:t xml:space="preserve"> Not US Resident), and student classification (Freshman, Sophomore, Junior, Senior, Non-Admit Undergrad, Grad/Law; </w:t>
      </w:r>
      <w:r w:rsidR="00A95832">
        <w:rPr>
          <w:rFonts w:ascii="Cambria" w:hAnsi="Cambria" w:cstheme="minorHAnsi"/>
          <w:sz w:val="22"/>
        </w:rPr>
        <w:t xml:space="preserve">Other </w:t>
      </w:r>
      <w:r w:rsidR="00592C90">
        <w:rPr>
          <w:rFonts w:ascii="Cambria" w:hAnsi="Cambria" w:cstheme="minorHAnsi"/>
          <w:sz w:val="22"/>
        </w:rPr>
        <w:t xml:space="preserve">Non-Admit). Due to small cell sizes, the “Not Reported” category of gender and </w:t>
      </w:r>
      <w:r w:rsidR="00A95832">
        <w:rPr>
          <w:rFonts w:ascii="Cambria" w:hAnsi="Cambria" w:cstheme="minorHAnsi"/>
          <w:sz w:val="22"/>
        </w:rPr>
        <w:t xml:space="preserve">cell sizes less than 10 are </w:t>
      </w:r>
      <w:r w:rsidR="00592C90">
        <w:rPr>
          <w:rFonts w:ascii="Cambria" w:hAnsi="Cambria" w:cstheme="minorHAnsi"/>
          <w:sz w:val="22"/>
        </w:rPr>
        <w:t>not included in analyses, and the</w:t>
      </w:r>
      <w:r w:rsidR="00A95832">
        <w:rPr>
          <w:rFonts w:ascii="Cambria" w:hAnsi="Cambria" w:cstheme="minorHAnsi"/>
          <w:sz w:val="22"/>
        </w:rPr>
        <w:t xml:space="preserve"> “Asian,”</w:t>
      </w:r>
      <w:r w:rsidR="00592C90">
        <w:rPr>
          <w:rFonts w:ascii="Cambria" w:hAnsi="Cambria" w:cstheme="minorHAnsi"/>
          <w:sz w:val="22"/>
        </w:rPr>
        <w:t xml:space="preserve"> “American Indian or Alaska Native,” “Black or African American,” “Hispanic or Latino,” and “Native Hawaiian or Other Pacific Islander” categories of race/ethnicity were consolidated into one category: “</w:t>
      </w:r>
      <w:r w:rsidR="00A95832">
        <w:rPr>
          <w:rFonts w:ascii="Cambria" w:hAnsi="Cambria" w:cstheme="minorHAnsi"/>
          <w:sz w:val="22"/>
        </w:rPr>
        <w:t>Students of Color</w:t>
      </w:r>
      <w:r w:rsidR="00592C90">
        <w:rPr>
          <w:rFonts w:ascii="Cambria" w:hAnsi="Cambria" w:cstheme="minorHAnsi"/>
          <w:sz w:val="22"/>
        </w:rPr>
        <w:t xml:space="preserve">.” </w:t>
      </w:r>
    </w:p>
    <w:p w:rsidR="00080B41" w:rsidRDefault="00080B41" w:rsidP="00592C90">
      <w:pPr>
        <w:spacing w:after="0"/>
        <w:rPr>
          <w:rFonts w:ascii="Cambria" w:hAnsi="Cambria" w:cstheme="minorHAnsi"/>
          <w:sz w:val="22"/>
        </w:rPr>
      </w:pPr>
    </w:p>
    <w:p w:rsidR="00080B41" w:rsidRDefault="00080B41" w:rsidP="00080B41">
      <w:pPr>
        <w:spacing w:after="0"/>
        <w:rPr>
          <w:rFonts w:ascii="Cambria" w:hAnsi="Cambria" w:cstheme="minorHAnsi"/>
          <w:i/>
          <w:sz w:val="22"/>
        </w:rPr>
      </w:pPr>
      <w:r w:rsidRPr="00945CFB">
        <w:rPr>
          <w:rFonts w:ascii="Cambria" w:hAnsi="Cambria" w:cstheme="minorHAnsi"/>
          <w:i/>
          <w:sz w:val="22"/>
        </w:rPr>
        <w:t xml:space="preserve">Fall 2017 </w:t>
      </w:r>
      <w:proofErr w:type="spellStart"/>
      <w:r w:rsidR="00C33F0E">
        <w:rPr>
          <w:rFonts w:ascii="Cambria" w:hAnsi="Cambria" w:cstheme="minorHAnsi"/>
          <w:i/>
          <w:sz w:val="22"/>
        </w:rPr>
        <w:t>Tarea</w:t>
      </w:r>
      <w:proofErr w:type="spellEnd"/>
      <w:r w:rsidR="00C33F0E">
        <w:rPr>
          <w:rFonts w:ascii="Cambria" w:hAnsi="Cambria" w:cstheme="minorHAnsi"/>
          <w:i/>
          <w:sz w:val="22"/>
        </w:rPr>
        <w:t xml:space="preserve"> Time</w:t>
      </w:r>
    </w:p>
    <w:p w:rsidR="00080B41" w:rsidRPr="00945CFB" w:rsidRDefault="00080B41" w:rsidP="00080B41">
      <w:pPr>
        <w:spacing w:after="0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sz w:val="22"/>
        </w:rPr>
        <w:t xml:space="preserve">Final unique N after accounting for duplication and non-returned ‘student records’ data (final </w:t>
      </w:r>
      <w:r w:rsidRPr="000D2FEC">
        <w:rPr>
          <w:rFonts w:ascii="Cambria" w:hAnsi="Cambria" w:cstheme="minorHAnsi"/>
          <w:i/>
          <w:sz w:val="22"/>
        </w:rPr>
        <w:t>N</w:t>
      </w:r>
      <w:r>
        <w:rPr>
          <w:rFonts w:ascii="Cambria" w:hAnsi="Cambria" w:cstheme="minorHAnsi"/>
          <w:sz w:val="22"/>
        </w:rPr>
        <w:t xml:space="preserve"> = </w:t>
      </w:r>
      <w:r w:rsidR="00C33F0E">
        <w:rPr>
          <w:rFonts w:ascii="Cambria" w:hAnsi="Cambria" w:cstheme="minorHAnsi"/>
          <w:sz w:val="22"/>
        </w:rPr>
        <w:t>32</w:t>
      </w:r>
      <w:r>
        <w:rPr>
          <w:rFonts w:ascii="Cambria" w:hAnsi="Cambria" w:cstheme="minorHAnsi"/>
          <w:sz w:val="22"/>
        </w:rPr>
        <w:t>).</w:t>
      </w:r>
    </w:p>
    <w:p w:rsidR="00CF719C" w:rsidRDefault="00CF719C" w:rsidP="00592C90">
      <w:pPr>
        <w:spacing w:after="0"/>
        <w:rPr>
          <w:rFonts w:ascii="Cambria" w:hAnsi="Cambria" w:cstheme="minorHAnsi"/>
          <w:sz w:val="22"/>
        </w:rPr>
      </w:pPr>
    </w:p>
    <w:p w:rsidR="00C33F0E" w:rsidRDefault="00C33F0E" w:rsidP="00C33F0E">
      <w:pPr>
        <w:spacing w:after="0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i/>
          <w:sz w:val="22"/>
        </w:rPr>
        <w:t>Winter 2018</w:t>
      </w:r>
      <w:r w:rsidRPr="00945CFB">
        <w:rPr>
          <w:rFonts w:ascii="Cambria" w:hAnsi="Cambria" w:cstheme="minorHAnsi"/>
          <w:i/>
          <w:sz w:val="22"/>
        </w:rPr>
        <w:t xml:space="preserve"> </w:t>
      </w:r>
      <w:proofErr w:type="spellStart"/>
      <w:r>
        <w:rPr>
          <w:rFonts w:ascii="Cambria" w:hAnsi="Cambria" w:cstheme="minorHAnsi"/>
          <w:i/>
          <w:sz w:val="22"/>
        </w:rPr>
        <w:t>Tarea</w:t>
      </w:r>
      <w:proofErr w:type="spellEnd"/>
      <w:r>
        <w:rPr>
          <w:rFonts w:ascii="Cambria" w:hAnsi="Cambria" w:cstheme="minorHAnsi"/>
          <w:i/>
          <w:sz w:val="22"/>
        </w:rPr>
        <w:t xml:space="preserve"> Time</w:t>
      </w:r>
    </w:p>
    <w:p w:rsidR="00080B41" w:rsidRDefault="00080B41" w:rsidP="00CF719C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 xml:space="preserve">Final unique N after accounting for duplication and non-returned ‘student records’ data </w:t>
      </w:r>
      <w:r w:rsidR="00CF719C">
        <w:rPr>
          <w:rFonts w:ascii="Cambria" w:hAnsi="Cambria" w:cstheme="minorHAnsi"/>
          <w:sz w:val="22"/>
        </w:rPr>
        <w:t xml:space="preserve">(final </w:t>
      </w:r>
      <w:r w:rsidR="00CF719C" w:rsidRPr="000D2FEC">
        <w:rPr>
          <w:rFonts w:ascii="Cambria" w:hAnsi="Cambria" w:cstheme="minorHAnsi"/>
          <w:i/>
          <w:sz w:val="22"/>
        </w:rPr>
        <w:t>N</w:t>
      </w:r>
      <w:r w:rsidR="00CF719C">
        <w:rPr>
          <w:rFonts w:ascii="Cambria" w:hAnsi="Cambria" w:cstheme="minorHAnsi"/>
          <w:sz w:val="22"/>
        </w:rPr>
        <w:t xml:space="preserve"> = </w:t>
      </w:r>
      <w:r w:rsidR="00C33F0E">
        <w:rPr>
          <w:rFonts w:ascii="Cambria" w:hAnsi="Cambria" w:cstheme="minorHAnsi"/>
          <w:sz w:val="22"/>
        </w:rPr>
        <w:t>23</w:t>
      </w:r>
      <w:r w:rsidR="00CF719C">
        <w:rPr>
          <w:rFonts w:ascii="Cambria" w:hAnsi="Cambria" w:cstheme="minorHAnsi"/>
          <w:sz w:val="22"/>
        </w:rPr>
        <w:t xml:space="preserve">). </w:t>
      </w:r>
    </w:p>
    <w:p w:rsidR="00080B41" w:rsidRDefault="00080B41" w:rsidP="00CF719C">
      <w:pPr>
        <w:spacing w:after="0"/>
        <w:rPr>
          <w:rFonts w:ascii="Cambria" w:hAnsi="Cambria" w:cstheme="minorHAnsi"/>
          <w:sz w:val="22"/>
        </w:rPr>
      </w:pPr>
    </w:p>
    <w:p w:rsidR="00080B41" w:rsidRDefault="00080B41" w:rsidP="00080B41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For comparison, data on the same variables, with the same exclusion and consolidation criteria, were pulled for the overall UO population during the 201</w:t>
      </w:r>
      <w:r w:rsidR="00C33F0E">
        <w:rPr>
          <w:rFonts w:ascii="Cambria" w:hAnsi="Cambria" w:cstheme="minorHAnsi"/>
          <w:sz w:val="22"/>
        </w:rPr>
        <w:t>7</w:t>
      </w:r>
      <w:r>
        <w:rPr>
          <w:rFonts w:ascii="Cambria" w:hAnsi="Cambria" w:cstheme="minorHAnsi"/>
          <w:sz w:val="22"/>
        </w:rPr>
        <w:t>-201</w:t>
      </w:r>
      <w:r w:rsidR="00C33F0E">
        <w:rPr>
          <w:rFonts w:ascii="Cambria" w:hAnsi="Cambria" w:cstheme="minorHAnsi"/>
          <w:sz w:val="22"/>
        </w:rPr>
        <w:t>8</w:t>
      </w:r>
      <w:r>
        <w:rPr>
          <w:rFonts w:ascii="Cambria" w:hAnsi="Cambria" w:cstheme="minorHAnsi"/>
          <w:sz w:val="22"/>
        </w:rPr>
        <w:t xml:space="preserve"> academic year (</w:t>
      </w:r>
      <w:r w:rsidRPr="000D2FEC">
        <w:rPr>
          <w:rFonts w:ascii="Cambria" w:hAnsi="Cambria" w:cstheme="minorHAnsi"/>
          <w:i/>
          <w:sz w:val="22"/>
        </w:rPr>
        <w:t>N</w:t>
      </w:r>
      <w:r>
        <w:rPr>
          <w:rFonts w:ascii="Cambria" w:hAnsi="Cambria" w:cstheme="minorHAnsi"/>
          <w:sz w:val="22"/>
        </w:rPr>
        <w:t xml:space="preserve"> = 22,980)</w:t>
      </w:r>
      <w:r w:rsidRPr="003A3E2E">
        <w:rPr>
          <w:rFonts w:ascii="Cambria" w:hAnsi="Cambria" w:cstheme="minorHAnsi"/>
          <w:sz w:val="22"/>
          <w:vertAlign w:val="superscript"/>
        </w:rPr>
        <w:t>1</w:t>
      </w:r>
      <w:r>
        <w:rPr>
          <w:rFonts w:ascii="Cambria" w:hAnsi="Cambria" w:cstheme="minorHAnsi"/>
          <w:sz w:val="22"/>
        </w:rPr>
        <w:t>.  Major and college information was summarized for all participants.</w:t>
      </w:r>
    </w:p>
    <w:p w:rsidR="00CF719C" w:rsidRDefault="00CF719C" w:rsidP="00CF719C">
      <w:pPr>
        <w:spacing w:after="0"/>
        <w:rPr>
          <w:rFonts w:ascii="Cambria" w:hAnsi="Cambria" w:cstheme="minorHAnsi"/>
          <w:sz w:val="22"/>
        </w:rPr>
      </w:pPr>
    </w:p>
    <w:p w:rsidR="002B6ADA" w:rsidRPr="002B6ADA" w:rsidRDefault="00970DB3" w:rsidP="002B6ADA">
      <w:pPr>
        <w:spacing w:after="0"/>
        <w:rPr>
          <w:rFonts w:ascii="Cambria" w:hAnsi="Cambria" w:cstheme="minorHAnsi"/>
          <w:b/>
          <w:sz w:val="22"/>
        </w:rPr>
      </w:pPr>
      <w:r>
        <w:rPr>
          <w:rFonts w:ascii="Cambria" w:hAnsi="Cambria" w:cstheme="minorHAnsi"/>
          <w:b/>
          <w:sz w:val="22"/>
        </w:rPr>
        <w:t xml:space="preserve">Results </w:t>
      </w:r>
    </w:p>
    <w:p w:rsidR="002B6ADA" w:rsidRDefault="002B6ADA" w:rsidP="002B6ADA">
      <w:pPr>
        <w:spacing w:after="0"/>
        <w:rPr>
          <w:rFonts w:ascii="Cambria" w:hAnsi="Cambria" w:cstheme="minorHAnsi"/>
          <w:sz w:val="22"/>
        </w:rPr>
      </w:pPr>
    </w:p>
    <w:p w:rsidR="00C6026E" w:rsidRDefault="000D2FEC" w:rsidP="00C6026E">
      <w:pPr>
        <w:spacing w:after="0"/>
        <w:rPr>
          <w:rFonts w:ascii="Cambria" w:hAnsi="Cambria" w:cstheme="minorHAnsi"/>
          <w:b/>
          <w:sz w:val="22"/>
        </w:rPr>
      </w:pPr>
      <w:r>
        <w:rPr>
          <w:rFonts w:ascii="Cambria" w:hAnsi="Cambria" w:cstheme="minorHAnsi"/>
          <w:sz w:val="22"/>
        </w:rPr>
        <w:t xml:space="preserve">The table </w:t>
      </w:r>
      <w:r w:rsidR="009A5053">
        <w:rPr>
          <w:rFonts w:ascii="Cambria" w:hAnsi="Cambria" w:cstheme="minorHAnsi"/>
          <w:sz w:val="22"/>
        </w:rPr>
        <w:t xml:space="preserve">and figures </w:t>
      </w:r>
      <w:r w:rsidR="00BA53EA">
        <w:rPr>
          <w:rFonts w:ascii="Cambria" w:hAnsi="Cambria" w:cstheme="minorHAnsi"/>
          <w:sz w:val="22"/>
        </w:rPr>
        <w:t>on the following page</w:t>
      </w:r>
      <w:r w:rsidR="009A5053">
        <w:rPr>
          <w:rFonts w:ascii="Cambria" w:hAnsi="Cambria" w:cstheme="minorHAnsi"/>
          <w:sz w:val="22"/>
        </w:rPr>
        <w:t>s</w:t>
      </w:r>
      <w:r w:rsidR="00386600">
        <w:rPr>
          <w:rFonts w:ascii="Cambria" w:hAnsi="Cambria" w:cstheme="minorHAnsi"/>
          <w:sz w:val="22"/>
        </w:rPr>
        <w:t xml:space="preserve"> presents results based </w:t>
      </w:r>
      <w:r>
        <w:rPr>
          <w:rFonts w:ascii="Cambria" w:hAnsi="Cambria" w:cstheme="minorHAnsi"/>
          <w:sz w:val="22"/>
        </w:rPr>
        <w:t>on the data described above</w:t>
      </w:r>
      <w:r w:rsidR="00386600">
        <w:rPr>
          <w:rFonts w:ascii="Cambria" w:hAnsi="Cambria" w:cstheme="minorHAnsi"/>
          <w:sz w:val="22"/>
        </w:rPr>
        <w:t xml:space="preserve">. </w:t>
      </w:r>
      <w:r w:rsidR="0036139C">
        <w:rPr>
          <w:rFonts w:ascii="Cambria" w:hAnsi="Cambria" w:cstheme="minorHAnsi"/>
          <w:sz w:val="22"/>
        </w:rPr>
        <w:t xml:space="preserve">The results could be used to various ends. To whatever end, the results provide a macro-level view </w:t>
      </w:r>
      <w:r w:rsidR="00197E29">
        <w:rPr>
          <w:rFonts w:ascii="Cambria" w:hAnsi="Cambria" w:cstheme="minorHAnsi"/>
          <w:sz w:val="22"/>
        </w:rPr>
        <w:t xml:space="preserve">of </w:t>
      </w:r>
      <w:proofErr w:type="spellStart"/>
      <w:r w:rsidR="00C33F0E">
        <w:rPr>
          <w:rFonts w:ascii="Cambria" w:hAnsi="Cambria" w:cstheme="minorHAnsi"/>
          <w:sz w:val="22"/>
        </w:rPr>
        <w:t>Tarea</w:t>
      </w:r>
      <w:proofErr w:type="spellEnd"/>
      <w:r w:rsidR="00C33F0E">
        <w:rPr>
          <w:rFonts w:ascii="Cambria" w:hAnsi="Cambria" w:cstheme="minorHAnsi"/>
          <w:sz w:val="22"/>
        </w:rPr>
        <w:t xml:space="preserve"> Time </w:t>
      </w:r>
      <w:r w:rsidR="004328D8">
        <w:rPr>
          <w:rFonts w:ascii="Cambria" w:hAnsi="Cambria" w:cstheme="minorHAnsi"/>
          <w:sz w:val="22"/>
        </w:rPr>
        <w:t>participations</w:t>
      </w:r>
      <w:r w:rsidR="0036139C">
        <w:rPr>
          <w:rFonts w:ascii="Cambria" w:hAnsi="Cambria" w:cstheme="minorHAnsi"/>
          <w:sz w:val="22"/>
        </w:rPr>
        <w:t xml:space="preserve"> during </w:t>
      </w:r>
      <w:proofErr w:type="gramStart"/>
      <w:r w:rsidR="00080B41">
        <w:rPr>
          <w:rFonts w:ascii="Cambria" w:hAnsi="Cambria" w:cstheme="minorHAnsi"/>
          <w:sz w:val="22"/>
        </w:rPr>
        <w:t>Fall</w:t>
      </w:r>
      <w:proofErr w:type="gramEnd"/>
      <w:r w:rsidR="00080B41">
        <w:rPr>
          <w:rFonts w:ascii="Cambria" w:hAnsi="Cambria" w:cstheme="minorHAnsi"/>
          <w:sz w:val="22"/>
        </w:rPr>
        <w:t xml:space="preserve"> 2017</w:t>
      </w:r>
      <w:r w:rsidR="00035FEC">
        <w:rPr>
          <w:rFonts w:ascii="Cambria" w:hAnsi="Cambria" w:cstheme="minorHAnsi"/>
          <w:sz w:val="22"/>
        </w:rPr>
        <w:t xml:space="preserve"> and Winter 2018</w:t>
      </w:r>
      <w:r w:rsidR="0036139C">
        <w:rPr>
          <w:rFonts w:ascii="Cambria" w:hAnsi="Cambria" w:cstheme="minorHAnsi"/>
          <w:sz w:val="22"/>
        </w:rPr>
        <w:t xml:space="preserve">, in comparison to the greater UO student population. They do not allow us to make inferences about student learning, development, etc. </w:t>
      </w:r>
    </w:p>
    <w:p w:rsidR="00034624" w:rsidRPr="00034624" w:rsidRDefault="00034624" w:rsidP="00034624">
      <w:pPr>
        <w:spacing w:after="160" w:line="259" w:lineRule="auto"/>
        <w:rPr>
          <w:rFonts w:ascii="Cambria" w:hAnsi="Cambria" w:cstheme="minorHAnsi"/>
          <w:b/>
          <w:sz w:val="22"/>
        </w:rPr>
      </w:pPr>
      <w:r w:rsidRPr="00034624">
        <w:rPr>
          <w:rFonts w:ascii="Cambria" w:hAnsi="Cambria" w:cstheme="minorHAnsi"/>
          <w:b/>
          <w:sz w:val="22"/>
        </w:rPr>
        <w:t>Use</w:t>
      </w:r>
    </w:p>
    <w:p w:rsidR="00034624" w:rsidRDefault="00034624" w:rsidP="00034624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Please use the following citation on any charts, graphs, or text from this document:</w:t>
      </w:r>
    </w:p>
    <w:p w:rsidR="00034624" w:rsidRDefault="00034624" w:rsidP="00034624">
      <w:pPr>
        <w:spacing w:after="0"/>
        <w:rPr>
          <w:rFonts w:ascii="Cambria" w:hAnsi="Cambria" w:cstheme="minorHAnsi"/>
          <w:sz w:val="22"/>
        </w:rPr>
      </w:pPr>
    </w:p>
    <w:p w:rsidR="00034624" w:rsidRDefault="00034624" w:rsidP="00C6026E">
      <w:pPr>
        <w:spacing w:after="0"/>
        <w:rPr>
          <w:rFonts w:ascii="Cambria" w:hAnsi="Cambria" w:cstheme="minorHAnsi"/>
          <w:sz w:val="22"/>
        </w:rPr>
      </w:pPr>
      <w:r>
        <w:rPr>
          <w:rFonts w:ascii="Cambria" w:hAnsi="Cambria" w:cstheme="minorHAnsi"/>
          <w:sz w:val="22"/>
        </w:rPr>
        <w:t>Office of Assessment &amp; Research</w:t>
      </w:r>
      <w:r w:rsidR="00AC1C61">
        <w:rPr>
          <w:rFonts w:ascii="Cambria" w:hAnsi="Cambria" w:cstheme="minorHAnsi"/>
          <w:sz w:val="22"/>
        </w:rPr>
        <w:t>, Division of Student Life (201</w:t>
      </w:r>
      <w:r w:rsidR="00C33F0E">
        <w:rPr>
          <w:rFonts w:ascii="Cambria" w:hAnsi="Cambria" w:cstheme="minorHAnsi"/>
          <w:sz w:val="22"/>
        </w:rPr>
        <w:t>8</w:t>
      </w:r>
      <w:r>
        <w:rPr>
          <w:rFonts w:ascii="Cambria" w:hAnsi="Cambria" w:cstheme="minorHAnsi"/>
          <w:sz w:val="22"/>
        </w:rPr>
        <w:t xml:space="preserve">). </w:t>
      </w:r>
      <w:r w:rsidRPr="002D2649">
        <w:rPr>
          <w:rFonts w:ascii="Cambria" w:hAnsi="Cambria" w:cstheme="minorHAnsi"/>
          <w:i/>
          <w:sz w:val="22"/>
        </w:rPr>
        <w:t xml:space="preserve">Demographics </w:t>
      </w:r>
      <w:proofErr w:type="spellStart"/>
      <w:r w:rsidR="00C33F0E">
        <w:rPr>
          <w:rFonts w:ascii="Cambria" w:hAnsi="Cambria" w:cstheme="minorHAnsi"/>
          <w:i/>
          <w:sz w:val="22"/>
        </w:rPr>
        <w:t>Tarea</w:t>
      </w:r>
      <w:proofErr w:type="spellEnd"/>
      <w:r w:rsidR="00C33F0E">
        <w:rPr>
          <w:rFonts w:ascii="Cambria" w:hAnsi="Cambria" w:cstheme="minorHAnsi"/>
          <w:i/>
          <w:sz w:val="22"/>
        </w:rPr>
        <w:t xml:space="preserve"> Time</w:t>
      </w:r>
      <w:r w:rsidR="004328D8">
        <w:rPr>
          <w:rFonts w:ascii="Cambria" w:hAnsi="Cambria" w:cstheme="minorHAnsi"/>
          <w:i/>
          <w:sz w:val="22"/>
        </w:rPr>
        <w:t xml:space="preserve">, </w:t>
      </w:r>
      <w:proofErr w:type="gramStart"/>
      <w:r w:rsidR="00080B41">
        <w:rPr>
          <w:rFonts w:ascii="Cambria" w:hAnsi="Cambria" w:cstheme="minorHAnsi"/>
          <w:i/>
          <w:sz w:val="22"/>
        </w:rPr>
        <w:t>Fall</w:t>
      </w:r>
      <w:proofErr w:type="gramEnd"/>
      <w:r w:rsidR="00080B41">
        <w:rPr>
          <w:rFonts w:ascii="Cambria" w:hAnsi="Cambria" w:cstheme="minorHAnsi"/>
          <w:i/>
          <w:sz w:val="22"/>
        </w:rPr>
        <w:t xml:space="preserve"> 2017</w:t>
      </w:r>
      <w:r w:rsidR="00C33F0E">
        <w:rPr>
          <w:rFonts w:ascii="Cambria" w:hAnsi="Cambria" w:cstheme="minorHAnsi"/>
          <w:i/>
          <w:sz w:val="22"/>
        </w:rPr>
        <w:t xml:space="preserve"> &amp; Winter 2018</w:t>
      </w:r>
      <w:r w:rsidR="004328D8">
        <w:rPr>
          <w:rFonts w:ascii="Cambria" w:hAnsi="Cambria" w:cstheme="minorHAnsi"/>
          <w:i/>
          <w:sz w:val="22"/>
        </w:rPr>
        <w:t>.</w:t>
      </w:r>
    </w:p>
    <w:p w:rsidR="00C6026E" w:rsidRDefault="00C6026E" w:rsidP="00C6026E">
      <w:pPr>
        <w:spacing w:after="0"/>
        <w:rPr>
          <w:i/>
        </w:rPr>
      </w:pPr>
    </w:p>
    <w:p w:rsidR="00034624" w:rsidRPr="0067556C" w:rsidRDefault="00034624" w:rsidP="00034624">
      <w:pPr>
        <w:rPr>
          <w:i/>
        </w:rPr>
      </w:pPr>
      <w:r w:rsidRPr="0067556C">
        <w:rPr>
          <w:i/>
        </w:rPr>
        <w:t>Sincerely,</w:t>
      </w:r>
    </w:p>
    <w:p w:rsidR="00C33F0E" w:rsidRDefault="00034624" w:rsidP="0036139C">
      <w:pPr>
        <w:sectPr w:rsidR="00C33F0E" w:rsidSect="004328D8">
          <w:footerReference w:type="default" r:id="rId8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t>Office of Assessment &amp; Re</w:t>
      </w:r>
      <w:r w:rsidR="00C33F0E">
        <w:t>search, Division of Student Li</w:t>
      </w:r>
    </w:p>
    <w:p w:rsidR="00C33F0E" w:rsidRPr="00846C33" w:rsidRDefault="00C33F0E" w:rsidP="00C33F0E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846C33">
        <w:rPr>
          <w:rFonts w:ascii="Cambria" w:hAnsi="Cambria" w:cstheme="minorHAnsi"/>
          <w:i/>
          <w:sz w:val="22"/>
        </w:rPr>
        <w:lastRenderedPageBreak/>
        <w:t>Table</w:t>
      </w:r>
      <w:r>
        <w:rPr>
          <w:rFonts w:ascii="Cambria" w:hAnsi="Cambria" w:cstheme="minorHAnsi"/>
          <w:i/>
          <w:sz w:val="22"/>
        </w:rPr>
        <w:t xml:space="preserve"> 1</w:t>
      </w:r>
      <w:r w:rsidRPr="00846C33">
        <w:rPr>
          <w:rFonts w:ascii="Cambria" w:hAnsi="Cambria" w:cstheme="minorHAnsi"/>
          <w:i/>
          <w:sz w:val="22"/>
        </w:rPr>
        <w:t xml:space="preserve">. Demographics of </w:t>
      </w:r>
      <w:proofErr w:type="spellStart"/>
      <w:r>
        <w:rPr>
          <w:rFonts w:ascii="Cambria" w:hAnsi="Cambria" w:cstheme="minorHAnsi"/>
          <w:i/>
          <w:sz w:val="22"/>
        </w:rPr>
        <w:t>Tarea</w:t>
      </w:r>
      <w:proofErr w:type="spellEnd"/>
      <w:r>
        <w:rPr>
          <w:rFonts w:ascii="Cambria" w:hAnsi="Cambria" w:cstheme="minorHAnsi"/>
          <w:i/>
          <w:sz w:val="22"/>
        </w:rPr>
        <w:t xml:space="preserve"> Time</w:t>
      </w:r>
      <w:r>
        <w:rPr>
          <w:rFonts w:ascii="Cambria" w:hAnsi="Cambria" w:cstheme="minorHAnsi"/>
          <w:i/>
          <w:sz w:val="22"/>
        </w:rPr>
        <w:t xml:space="preserve"> Participants </w:t>
      </w:r>
      <w:r w:rsidRPr="00846C33">
        <w:rPr>
          <w:rFonts w:ascii="Cambria" w:hAnsi="Cambria" w:cstheme="minorHAnsi"/>
          <w:i/>
          <w:sz w:val="22"/>
        </w:rPr>
        <w:t>and Overall UO Stud</w:t>
      </w:r>
      <w:r>
        <w:rPr>
          <w:rFonts w:ascii="Cambria" w:hAnsi="Cambria" w:cstheme="minorHAnsi"/>
          <w:i/>
          <w:sz w:val="22"/>
        </w:rPr>
        <w:t xml:space="preserve">ent Population during </w:t>
      </w:r>
      <w:proofErr w:type="gramStart"/>
      <w:r>
        <w:rPr>
          <w:rFonts w:ascii="Cambria" w:hAnsi="Cambria" w:cstheme="minorHAnsi"/>
          <w:i/>
          <w:sz w:val="22"/>
        </w:rPr>
        <w:t>Fall</w:t>
      </w:r>
      <w:proofErr w:type="gramEnd"/>
      <w:r>
        <w:rPr>
          <w:rFonts w:ascii="Cambria" w:hAnsi="Cambria" w:cstheme="minorHAnsi"/>
          <w:i/>
          <w:sz w:val="22"/>
        </w:rPr>
        <w:t xml:space="preserve"> 2017</w:t>
      </w:r>
      <w:r>
        <w:rPr>
          <w:rFonts w:ascii="Cambria" w:hAnsi="Cambria" w:cstheme="minorHAnsi"/>
          <w:i/>
          <w:sz w:val="22"/>
        </w:rPr>
        <w:t xml:space="preserve"> &amp; Winter 2018</w:t>
      </w:r>
      <w:r>
        <w:rPr>
          <w:rFonts w:ascii="Cambria" w:hAnsi="Cambria" w:cstheme="minorHAnsi"/>
          <w:i/>
          <w:sz w:val="22"/>
        </w:rPr>
        <w:t xml:space="preserve"> 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160"/>
        <w:gridCol w:w="2610"/>
        <w:gridCol w:w="2970"/>
        <w:gridCol w:w="2700"/>
      </w:tblGrid>
      <w:tr w:rsidR="00C33F0E" w:rsidRPr="00034624" w:rsidTr="00EB37E5">
        <w:trPr>
          <w:trHeight w:val="576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767171" w:themeFill="background2" w:themeFillShade="80"/>
            <w:noWrap/>
            <w:vAlign w:val="center"/>
            <w:hideMark/>
          </w:tcPr>
          <w:p w:rsidR="00C33F0E" w:rsidRPr="00034624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846C33">
              <w:rPr>
                <w:rFonts w:ascii="Cambria" w:hAnsi="Cambria"/>
                <w:color w:val="FFFFFF" w:themeColor="background1"/>
                <w:sz w:val="22"/>
                <w:szCs w:val="22"/>
              </w:rPr>
              <w:t>Variable</w:t>
            </w:r>
          </w:p>
        </w:tc>
        <w:tc>
          <w:tcPr>
            <w:tcW w:w="2160" w:type="dxa"/>
            <w:shd w:val="clear" w:color="auto" w:fill="767171" w:themeFill="background2" w:themeFillShade="80"/>
            <w:noWrap/>
            <w:vAlign w:val="center"/>
            <w:hideMark/>
          </w:tcPr>
          <w:p w:rsidR="00C33F0E" w:rsidRPr="00034624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846C33">
              <w:rPr>
                <w:rFonts w:ascii="Cambria" w:hAnsi="Cambria"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2610" w:type="dxa"/>
            <w:shd w:val="clear" w:color="auto" w:fill="767171" w:themeFill="background2" w:themeFillShade="80"/>
            <w:vAlign w:val="center"/>
            <w:hideMark/>
          </w:tcPr>
          <w:p w:rsidR="00C33F0E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Tarea</w:t>
            </w:r>
            <w:proofErr w:type="spellEnd"/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Time</w:t>
            </w:r>
          </w:p>
          <w:p w:rsidR="00833753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Fall 2017</w:t>
            </w:r>
            <w:r w:rsidR="00833753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</w:p>
          <w:p w:rsidR="00C33F0E" w:rsidRPr="00034624" w:rsidRDefault="00833753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N=32</w:t>
            </w:r>
          </w:p>
        </w:tc>
        <w:tc>
          <w:tcPr>
            <w:tcW w:w="2970" w:type="dxa"/>
            <w:shd w:val="clear" w:color="auto" w:fill="767171" w:themeFill="background2" w:themeFillShade="80"/>
            <w:vAlign w:val="center"/>
            <w:hideMark/>
          </w:tcPr>
          <w:p w:rsidR="00C33F0E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Tarea</w:t>
            </w:r>
            <w:proofErr w:type="spellEnd"/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Time</w:t>
            </w:r>
          </w:p>
          <w:p w:rsidR="00833753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Winter 2018</w:t>
            </w:r>
            <w:r w:rsidR="00833753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 </w:t>
            </w:r>
          </w:p>
          <w:p w:rsidR="00C33F0E" w:rsidRPr="00034624" w:rsidRDefault="00833753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N=23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C33F0E" w:rsidRPr="00034624" w:rsidRDefault="00C33F0E" w:rsidP="004934D0">
            <w:pPr>
              <w:spacing w:after="0"/>
              <w:jc w:val="center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034624">
              <w:rPr>
                <w:rFonts w:ascii="Cambria" w:hAnsi="Cambria"/>
                <w:color w:val="FFFFFF" w:themeColor="background1"/>
                <w:sz w:val="22"/>
                <w:szCs w:val="22"/>
              </w:rPr>
              <w:t xml:space="preserve">UO Overall </w:t>
            </w: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Fall 2017</w:t>
            </w:r>
            <w:r>
              <w:rPr>
                <w:rFonts w:ascii="Cambria" w:hAnsi="Cambria"/>
                <w:color w:val="FFFFFF" w:themeColor="background1"/>
                <w:sz w:val="22"/>
                <w:szCs w:val="22"/>
              </w:rPr>
              <w:t>-2018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b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  <w:r w:rsidR="00EB37E5">
              <w:rPr>
                <w:rFonts w:ascii="Cambria" w:hAnsi="Cambria"/>
                <w:sz w:val="20"/>
                <w:szCs w:val="20"/>
              </w:rPr>
              <w:t>.0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69.6</w:t>
            </w:r>
            <w:r w:rsidR="00C33F0E"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53.3%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30.4</w:t>
            </w:r>
            <w:r w:rsidR="00C33F0E"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Align w:val="center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46.7%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b/>
                <w:color w:val="000000"/>
                <w:sz w:val="22"/>
                <w:szCs w:val="22"/>
              </w:rPr>
              <w:t>International Status</w:t>
            </w: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International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6.3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13.0%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US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93.8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87.0%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b/>
                <w:color w:val="000000"/>
                <w:sz w:val="22"/>
                <w:szCs w:val="22"/>
              </w:rPr>
              <w:t>Race/Ethnicity</w:t>
            </w: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803618">
              <w:rPr>
                <w:rFonts w:ascii="Cambria" w:hAnsi="Cambria"/>
                <w:sz w:val="22"/>
                <w:szCs w:val="22"/>
              </w:rPr>
              <w:t>Students of Color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71.9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78.3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26.8%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803618">
              <w:rPr>
                <w:rFonts w:ascii="Cambria" w:hAnsi="Cambria"/>
                <w:sz w:val="22"/>
                <w:szCs w:val="22"/>
              </w:rPr>
              <w:t>White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15.6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17.4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700" w:type="dxa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59.4%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803618">
              <w:rPr>
                <w:rFonts w:ascii="Cambria" w:hAnsi="Cambria"/>
                <w:sz w:val="22"/>
                <w:szCs w:val="22"/>
              </w:rPr>
              <w:t>Not Reported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3.1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-</w:t>
            </w:r>
          </w:p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2.0%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  <w:r w:rsidRPr="00803618">
              <w:rPr>
                <w:rFonts w:ascii="Cambria" w:hAnsi="Cambria"/>
                <w:sz w:val="22"/>
                <w:szCs w:val="22"/>
              </w:rPr>
              <w:t>Not US Resident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3618">
              <w:rPr>
                <w:rFonts w:ascii="Cambria" w:hAnsi="Cambria"/>
                <w:sz w:val="20"/>
                <w:szCs w:val="20"/>
              </w:rPr>
              <w:t>12.4%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:rsidR="00C33F0E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4.3</w:t>
            </w:r>
            <w:r w:rsidR="00C33F0E"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700" w:type="dxa"/>
            <w:shd w:val="clear" w:color="auto" w:fill="auto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11.8%</w:t>
            </w:r>
          </w:p>
        </w:tc>
      </w:tr>
      <w:tr w:rsidR="00C33F0E" w:rsidRPr="00034624" w:rsidTr="00EB37E5">
        <w:trPr>
          <w:trHeight w:val="288"/>
        </w:trPr>
        <w:tc>
          <w:tcPr>
            <w:tcW w:w="2515" w:type="dxa"/>
            <w:tcBorders>
              <w:bottom w:val="single" w:sz="4" w:space="0" w:color="auto"/>
              <w:right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C33F0E" w:rsidRPr="00803618" w:rsidRDefault="00C33F0E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hideMark/>
          </w:tcPr>
          <w:p w:rsidR="00C33F0E" w:rsidRPr="00803618" w:rsidRDefault="00C33F0E" w:rsidP="004934D0">
            <w:pPr>
              <w:spacing w:after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EAAAA" w:themeFill="background2" w:themeFillShade="BF"/>
          </w:tcPr>
          <w:p w:rsidR="00C33F0E" w:rsidRPr="00803618" w:rsidRDefault="00C33F0E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88"/>
        </w:trPr>
        <w:tc>
          <w:tcPr>
            <w:tcW w:w="25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b/>
                <w:color w:val="000000"/>
                <w:sz w:val="22"/>
                <w:szCs w:val="22"/>
              </w:rPr>
              <w:t>Student Classification</w:t>
            </w: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Freshman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31.3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39.1</w:t>
            </w: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Merge w:val="restart"/>
            <w:shd w:val="clear" w:color="auto" w:fill="F2F2F2" w:themeFill="background1" w:themeFillShade="F2"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37E5" w:rsidRPr="00803618" w:rsidRDefault="00EB37E5" w:rsidP="004934D0">
            <w:pPr>
              <w:spacing w:after="0"/>
              <w:jc w:val="right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Sophomore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9.4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auto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13.0</w:t>
            </w: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Merge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37E5" w:rsidRPr="00034624" w:rsidRDefault="00EB37E5" w:rsidP="004934D0">
            <w:pPr>
              <w:spacing w:after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Junior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28.1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F2F2F2" w:themeFill="background1" w:themeFillShade="F2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21.7</w:t>
            </w: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37E5" w:rsidRPr="00034624" w:rsidRDefault="00EB37E5" w:rsidP="004934D0">
            <w:pPr>
              <w:spacing w:after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610" w:type="dxa"/>
            <w:shd w:val="clear" w:color="auto" w:fill="auto"/>
            <w:noWrap/>
            <w:hideMark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18.8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970" w:type="dxa"/>
            <w:shd w:val="clear" w:color="auto" w:fill="auto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21.7</w:t>
            </w: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Merge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60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B37E5" w:rsidRPr="00034624" w:rsidRDefault="00EB37E5" w:rsidP="004934D0">
            <w:pPr>
              <w:spacing w:after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Grad/Law</w:t>
            </w:r>
          </w:p>
        </w:tc>
        <w:tc>
          <w:tcPr>
            <w:tcW w:w="2610" w:type="dxa"/>
            <w:shd w:val="clear" w:color="auto" w:fill="F2F2F2" w:themeFill="background1" w:themeFillShade="F2"/>
            <w:noWrap/>
            <w:hideMark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9.4</w:t>
            </w:r>
            <w:r w:rsidRPr="00803618">
              <w:rPr>
                <w:rFonts w:ascii="Cambria" w:hAnsi="Cambria"/>
                <w:sz w:val="20"/>
                <w:szCs w:val="20"/>
              </w:rPr>
              <w:t>%</w:t>
            </w:r>
          </w:p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2F2F2" w:themeFill="background1" w:themeFillShade="F2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4.3</w:t>
            </w:r>
            <w:r w:rsidRPr="00803618">
              <w:rPr>
                <w:rFonts w:ascii="Cambria" w:hAnsi="Cambr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2700" w:type="dxa"/>
            <w:vMerge/>
            <w:shd w:val="clear" w:color="auto" w:fill="F2F2F2" w:themeFill="background1" w:themeFillShade="F2"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EB37E5" w:rsidRPr="00034624" w:rsidTr="00EB37E5">
        <w:trPr>
          <w:trHeight w:val="288"/>
        </w:trPr>
        <w:tc>
          <w:tcPr>
            <w:tcW w:w="251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bottom"/>
          </w:tcPr>
          <w:p w:rsidR="00EB37E5" w:rsidRPr="00034624" w:rsidRDefault="00EB37E5" w:rsidP="004934D0">
            <w:pPr>
              <w:spacing w:after="0"/>
              <w:jc w:val="right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noWrap/>
          </w:tcPr>
          <w:p w:rsidR="00EB37E5" w:rsidRPr="00803618" w:rsidRDefault="00EB37E5" w:rsidP="004934D0">
            <w:pPr>
              <w:spacing w:after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803618">
              <w:rPr>
                <w:rFonts w:ascii="Cambria" w:hAnsi="Cambria"/>
                <w:color w:val="000000"/>
                <w:sz w:val="22"/>
                <w:szCs w:val="22"/>
              </w:rPr>
              <w:t>Other Non-Admit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03618">
              <w:rPr>
                <w:rFonts w:ascii="Cambria" w:hAnsi="Cambria" w:cs="Tahoma"/>
                <w:color w:val="000000"/>
                <w:sz w:val="20"/>
                <w:szCs w:val="20"/>
              </w:rPr>
              <w:t>* &lt;10 not reported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auto"/>
            <w:noWrap/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00" w:type="dxa"/>
            <w:vMerge/>
            <w:tcBorders>
              <w:bottom w:val="nil"/>
            </w:tcBorders>
          </w:tcPr>
          <w:p w:rsidR="00EB37E5" w:rsidRPr="00803618" w:rsidRDefault="00EB37E5" w:rsidP="004934D0">
            <w:pPr>
              <w:spacing w:after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9739AD" w:rsidRDefault="00C33F0E" w:rsidP="00A71707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295C61">
        <w:rPr>
          <w:rFonts w:ascii="Cambria" w:hAnsi="Cambria" w:cstheme="minorHAnsi"/>
          <w:i/>
          <w:sz w:val="22"/>
        </w:rPr>
        <w:t xml:space="preserve">Note: Cell sizes </w:t>
      </w:r>
      <w:r>
        <w:rPr>
          <w:rFonts w:ascii="Cambria" w:hAnsi="Cambria" w:cstheme="minorHAnsi"/>
          <w:i/>
          <w:sz w:val="22"/>
        </w:rPr>
        <w:t>&lt;</w:t>
      </w:r>
      <w:r w:rsidRPr="00295C61">
        <w:rPr>
          <w:rFonts w:ascii="Cambria" w:hAnsi="Cambria" w:cstheme="minorHAnsi"/>
          <w:i/>
          <w:sz w:val="22"/>
        </w:rPr>
        <w:t xml:space="preserve"> 10 were excluded</w:t>
      </w:r>
    </w:p>
    <w:p w:rsidR="00A71707" w:rsidRDefault="00AE08CC" w:rsidP="00A71707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846C33">
        <w:rPr>
          <w:rFonts w:ascii="Cambria" w:hAnsi="Cambria" w:cstheme="minorHAnsi"/>
          <w:i/>
          <w:sz w:val="22"/>
        </w:rPr>
        <w:t>Table</w:t>
      </w:r>
      <w:r>
        <w:rPr>
          <w:rFonts w:ascii="Cambria" w:hAnsi="Cambria" w:cstheme="minorHAnsi"/>
          <w:i/>
          <w:sz w:val="22"/>
        </w:rPr>
        <w:t xml:space="preserve"> </w:t>
      </w:r>
      <w:r>
        <w:rPr>
          <w:rFonts w:ascii="Cambria" w:hAnsi="Cambria" w:cstheme="minorHAnsi"/>
          <w:i/>
          <w:sz w:val="22"/>
        </w:rPr>
        <w:t>2</w:t>
      </w:r>
      <w:r w:rsidRPr="00846C33">
        <w:rPr>
          <w:rFonts w:ascii="Cambria" w:hAnsi="Cambria" w:cstheme="minorHAnsi"/>
          <w:i/>
          <w:sz w:val="22"/>
        </w:rPr>
        <w:t xml:space="preserve">. </w:t>
      </w:r>
      <w:r>
        <w:rPr>
          <w:rFonts w:ascii="Cambria" w:hAnsi="Cambria" w:cstheme="minorHAnsi"/>
          <w:i/>
          <w:sz w:val="22"/>
        </w:rPr>
        <w:t>Mean GPA</w:t>
      </w:r>
      <w:r w:rsidRPr="00846C33">
        <w:rPr>
          <w:rFonts w:ascii="Cambria" w:hAnsi="Cambria" w:cstheme="minorHAnsi"/>
          <w:i/>
          <w:sz w:val="22"/>
        </w:rPr>
        <w:t xml:space="preserve"> of </w:t>
      </w:r>
      <w:proofErr w:type="spellStart"/>
      <w:r>
        <w:rPr>
          <w:rFonts w:ascii="Cambria" w:hAnsi="Cambria" w:cstheme="minorHAnsi"/>
          <w:i/>
          <w:sz w:val="22"/>
        </w:rPr>
        <w:t>Tarea</w:t>
      </w:r>
      <w:proofErr w:type="spellEnd"/>
      <w:r>
        <w:rPr>
          <w:rFonts w:ascii="Cambria" w:hAnsi="Cambria" w:cstheme="minorHAnsi"/>
          <w:i/>
          <w:sz w:val="22"/>
        </w:rPr>
        <w:t xml:space="preserve"> Time Participants </w:t>
      </w:r>
      <w:r w:rsidRPr="00846C33">
        <w:rPr>
          <w:rFonts w:ascii="Cambria" w:hAnsi="Cambria" w:cstheme="minorHAnsi"/>
          <w:i/>
          <w:sz w:val="22"/>
        </w:rPr>
        <w:t>and Overall UO Stud</w:t>
      </w:r>
      <w:r>
        <w:rPr>
          <w:rFonts w:ascii="Cambria" w:hAnsi="Cambria" w:cstheme="minorHAnsi"/>
          <w:i/>
          <w:sz w:val="22"/>
        </w:rPr>
        <w:t xml:space="preserve">ent Population during </w:t>
      </w:r>
      <w:proofErr w:type="gramStart"/>
      <w:r>
        <w:rPr>
          <w:rFonts w:ascii="Cambria" w:hAnsi="Cambria" w:cstheme="minorHAnsi"/>
          <w:i/>
          <w:sz w:val="22"/>
        </w:rPr>
        <w:t>Fall</w:t>
      </w:r>
      <w:proofErr w:type="gramEnd"/>
      <w:r>
        <w:rPr>
          <w:rFonts w:ascii="Cambria" w:hAnsi="Cambria" w:cstheme="minorHAnsi"/>
          <w:i/>
          <w:sz w:val="22"/>
        </w:rPr>
        <w:t xml:space="preserve"> 2017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  <w:gridCol w:w="3454"/>
      </w:tblGrid>
      <w:tr w:rsidR="00035FEC" w:rsidTr="00833753">
        <w:tc>
          <w:tcPr>
            <w:tcW w:w="3453" w:type="dxa"/>
            <w:tcBorders>
              <w:left w:val="nil"/>
              <w:bottom w:val="single" w:sz="4" w:space="0" w:color="auto"/>
              <w:right w:val="nil"/>
            </w:tcBorders>
          </w:tcPr>
          <w:p w:rsidR="00035FEC" w:rsidRDefault="00035FEC" w:rsidP="00035FEC">
            <w:pPr>
              <w:spacing w:after="160"/>
              <w:rPr>
                <w:rFonts w:ascii="Cambria" w:hAnsi="Cambria" w:cstheme="minorHAnsi"/>
                <w:i/>
                <w:sz w:val="22"/>
              </w:rPr>
            </w:pPr>
          </w:p>
        </w:tc>
        <w:tc>
          <w:tcPr>
            <w:tcW w:w="103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35FEC" w:rsidRDefault="00035FEC" w:rsidP="00833753">
            <w:pPr>
              <w:spacing w:after="160"/>
              <w:jc w:val="center"/>
              <w:rPr>
                <w:rFonts w:ascii="Cambria" w:hAnsi="Cambria" w:cstheme="minorHAnsi"/>
                <w:i/>
                <w:sz w:val="22"/>
              </w:rPr>
            </w:pPr>
            <w:r w:rsidRPr="00AE08CC">
              <w:rPr>
                <w:i/>
                <w:sz w:val="22"/>
              </w:rPr>
              <w:t>Overall Cumulative GPA</w:t>
            </w:r>
          </w:p>
        </w:tc>
      </w:tr>
      <w:tr w:rsidR="00035FEC" w:rsidTr="00833753">
        <w:tc>
          <w:tcPr>
            <w:tcW w:w="3453" w:type="dxa"/>
            <w:tcBorders>
              <w:left w:val="nil"/>
              <w:bottom w:val="single" w:sz="4" w:space="0" w:color="auto"/>
              <w:right w:val="nil"/>
            </w:tcBorders>
          </w:tcPr>
          <w:p w:rsidR="00035FEC" w:rsidRDefault="00035FEC" w:rsidP="00035FEC">
            <w:pPr>
              <w:spacing w:after="160"/>
              <w:rPr>
                <w:rFonts w:ascii="Cambria" w:hAnsi="Cambria" w:cstheme="minorHAnsi"/>
                <w:i/>
                <w:sz w:val="22"/>
              </w:rPr>
            </w:pPr>
          </w:p>
        </w:tc>
        <w:tc>
          <w:tcPr>
            <w:tcW w:w="3453" w:type="dxa"/>
            <w:tcBorders>
              <w:left w:val="nil"/>
              <w:bottom w:val="single" w:sz="4" w:space="0" w:color="auto"/>
            </w:tcBorders>
          </w:tcPr>
          <w:p w:rsidR="00035FEC" w:rsidRPr="00AE08CC" w:rsidRDefault="00035FEC" w:rsidP="00035FEC">
            <w:pPr>
              <w:spacing w:after="0"/>
              <w:ind w:right="72"/>
              <w:contextualSpacing/>
              <w:jc w:val="center"/>
              <w:rPr>
                <w:i/>
                <w:sz w:val="22"/>
              </w:rPr>
            </w:pPr>
            <w:r w:rsidRPr="00AE08CC">
              <w:rPr>
                <w:i/>
                <w:sz w:val="22"/>
              </w:rPr>
              <w:t>N</w:t>
            </w: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:rsidR="00035FEC" w:rsidRPr="00AE08CC" w:rsidRDefault="00035FEC" w:rsidP="00035FEC">
            <w:pPr>
              <w:spacing w:after="0"/>
              <w:ind w:right="72"/>
              <w:contextualSpacing/>
              <w:jc w:val="center"/>
              <w:rPr>
                <w:i/>
                <w:sz w:val="22"/>
              </w:rPr>
            </w:pPr>
            <w:r w:rsidRPr="00AE08CC">
              <w:rPr>
                <w:i/>
                <w:sz w:val="22"/>
              </w:rPr>
              <w:t>M</w:t>
            </w:r>
          </w:p>
        </w:tc>
        <w:tc>
          <w:tcPr>
            <w:tcW w:w="3454" w:type="dxa"/>
            <w:tcBorders>
              <w:bottom w:val="single" w:sz="4" w:space="0" w:color="auto"/>
              <w:right w:val="nil"/>
            </w:tcBorders>
          </w:tcPr>
          <w:p w:rsidR="00035FEC" w:rsidRPr="00AE08CC" w:rsidRDefault="00035FEC" w:rsidP="00035FEC">
            <w:pPr>
              <w:spacing w:after="0"/>
              <w:ind w:right="72"/>
              <w:contextualSpacing/>
              <w:jc w:val="center"/>
              <w:rPr>
                <w:i/>
                <w:sz w:val="22"/>
              </w:rPr>
            </w:pPr>
            <w:r w:rsidRPr="00AE08CC">
              <w:rPr>
                <w:i/>
                <w:sz w:val="22"/>
              </w:rPr>
              <w:t>SD</w:t>
            </w:r>
          </w:p>
        </w:tc>
      </w:tr>
      <w:tr w:rsidR="00035FEC" w:rsidTr="00833753">
        <w:tc>
          <w:tcPr>
            <w:tcW w:w="3453" w:type="dxa"/>
            <w:tcBorders>
              <w:left w:val="nil"/>
              <w:right w:val="nil"/>
            </w:tcBorders>
          </w:tcPr>
          <w:p w:rsidR="00035FEC" w:rsidRPr="00AE08CC" w:rsidRDefault="00035FEC" w:rsidP="00035FEC">
            <w:pPr>
              <w:ind w:right="72"/>
              <w:rPr>
                <w:i/>
                <w:sz w:val="22"/>
              </w:rPr>
            </w:pPr>
            <w:r>
              <w:rPr>
                <w:i/>
                <w:sz w:val="22"/>
              </w:rPr>
              <w:t>Fall</w:t>
            </w:r>
            <w:r w:rsidRPr="00AE08CC">
              <w:rPr>
                <w:i/>
                <w:sz w:val="22"/>
              </w:rPr>
              <w:t xml:space="preserve"> 2017</w:t>
            </w:r>
          </w:p>
        </w:tc>
        <w:tc>
          <w:tcPr>
            <w:tcW w:w="3453" w:type="dxa"/>
            <w:tcBorders>
              <w:left w:val="nil"/>
              <w:right w:val="nil"/>
            </w:tcBorders>
          </w:tcPr>
          <w:p w:rsidR="00035FEC" w:rsidRPr="00AE08CC" w:rsidRDefault="00035FEC" w:rsidP="00035FEC">
            <w:pPr>
              <w:spacing w:after="0"/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 w:rsidR="00035FEC" w:rsidRPr="00AE08CC" w:rsidRDefault="00035FEC" w:rsidP="00035FEC">
            <w:pPr>
              <w:spacing w:after="0"/>
              <w:ind w:right="72"/>
              <w:jc w:val="center"/>
              <w:rPr>
                <w:sz w:val="22"/>
              </w:rPr>
            </w:pPr>
            <w:r w:rsidRPr="00AE08CC">
              <w:rPr>
                <w:sz w:val="22"/>
              </w:rPr>
              <w:t>3.07</w:t>
            </w:r>
          </w:p>
        </w:tc>
        <w:tc>
          <w:tcPr>
            <w:tcW w:w="3454" w:type="dxa"/>
            <w:tcBorders>
              <w:left w:val="nil"/>
              <w:right w:val="nil"/>
            </w:tcBorders>
          </w:tcPr>
          <w:p w:rsidR="00035FEC" w:rsidRPr="00AE08CC" w:rsidRDefault="00035FEC" w:rsidP="00035FEC">
            <w:pPr>
              <w:spacing w:after="0"/>
              <w:ind w:right="72"/>
              <w:jc w:val="center"/>
              <w:rPr>
                <w:sz w:val="22"/>
              </w:rPr>
            </w:pPr>
            <w:r w:rsidRPr="00AE08CC">
              <w:rPr>
                <w:sz w:val="22"/>
              </w:rPr>
              <w:t>.90</w:t>
            </w:r>
          </w:p>
        </w:tc>
      </w:tr>
    </w:tbl>
    <w:p w:rsidR="00035FEC" w:rsidRDefault="00833753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295C61">
        <w:rPr>
          <w:rFonts w:ascii="Cambria" w:hAnsi="Cambria" w:cstheme="minorHAnsi"/>
          <w:i/>
          <w:sz w:val="22"/>
        </w:rPr>
        <w:t xml:space="preserve">Note: </w:t>
      </w:r>
      <w:r>
        <w:rPr>
          <w:rFonts w:ascii="Cambria" w:hAnsi="Cambria" w:cstheme="minorHAnsi"/>
          <w:i/>
          <w:sz w:val="22"/>
        </w:rPr>
        <w:t>Winter 2018 GPA have not been calculated yet</w:t>
      </w:r>
    </w:p>
    <w:p w:rsidR="00833753" w:rsidRDefault="00833753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bookmarkStart w:id="1" w:name="_GoBack"/>
      <w:bookmarkEnd w:id="1"/>
    </w:p>
    <w:p w:rsidR="00A3087A" w:rsidRPr="00295C61" w:rsidRDefault="00A3087A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i/>
          <w:sz w:val="22"/>
        </w:rPr>
        <w:lastRenderedPageBreak/>
        <w:t>Figure 1</w:t>
      </w:r>
      <w:r w:rsidRPr="00846C33">
        <w:rPr>
          <w:rFonts w:ascii="Cambria" w:hAnsi="Cambria" w:cstheme="minorHAnsi"/>
          <w:i/>
          <w:sz w:val="22"/>
        </w:rPr>
        <w:t xml:space="preserve">. </w:t>
      </w:r>
      <w:r>
        <w:rPr>
          <w:rFonts w:ascii="Cambria" w:hAnsi="Cambria" w:cstheme="minorHAnsi"/>
          <w:i/>
          <w:sz w:val="22"/>
        </w:rPr>
        <w:t xml:space="preserve">Top Majors Represented in </w:t>
      </w:r>
      <w:proofErr w:type="spellStart"/>
      <w:r w:rsidR="00EB37E5">
        <w:rPr>
          <w:rFonts w:ascii="Cambria" w:hAnsi="Cambria" w:cstheme="minorHAnsi"/>
          <w:i/>
          <w:sz w:val="22"/>
        </w:rPr>
        <w:t>Tarea</w:t>
      </w:r>
      <w:proofErr w:type="spellEnd"/>
      <w:r w:rsidR="00EB37E5">
        <w:rPr>
          <w:rFonts w:ascii="Cambria" w:hAnsi="Cambria" w:cstheme="minorHAnsi"/>
          <w:i/>
          <w:sz w:val="22"/>
        </w:rPr>
        <w:t xml:space="preserve"> Time</w:t>
      </w:r>
      <w:r w:rsidR="00A71707">
        <w:rPr>
          <w:rFonts w:ascii="Cambria" w:hAnsi="Cambria" w:cstheme="minorHAnsi"/>
          <w:i/>
          <w:sz w:val="22"/>
        </w:rPr>
        <w:t xml:space="preserve"> Fall 2017</w:t>
      </w:r>
      <w:r>
        <w:rPr>
          <w:rFonts w:ascii="Cambria" w:hAnsi="Cambria" w:cstheme="minorHAnsi"/>
          <w:i/>
          <w:sz w:val="22"/>
        </w:rPr>
        <w:t xml:space="preserve"> Participants </w:t>
      </w:r>
    </w:p>
    <w:p w:rsidR="00A3087A" w:rsidRDefault="00EB37E5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noProof/>
        </w:rPr>
        <w:drawing>
          <wp:inline distT="0" distB="0" distL="0" distR="0" wp14:anchorId="41BD7A18" wp14:editId="7A032E64">
            <wp:extent cx="5295331" cy="2586251"/>
            <wp:effectExtent l="0" t="0" r="635" b="508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41F36" w:rsidRDefault="00E41F36" w:rsidP="00E41F36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i/>
          <w:sz w:val="22"/>
        </w:rPr>
        <w:t>Figure 2</w:t>
      </w:r>
      <w:r w:rsidRPr="00846C33">
        <w:rPr>
          <w:rFonts w:ascii="Cambria" w:hAnsi="Cambria" w:cstheme="minorHAnsi"/>
          <w:i/>
          <w:sz w:val="22"/>
        </w:rPr>
        <w:t xml:space="preserve">. </w:t>
      </w:r>
      <w:r>
        <w:rPr>
          <w:rFonts w:ascii="Cambria" w:hAnsi="Cambria" w:cstheme="minorHAnsi"/>
          <w:i/>
          <w:sz w:val="22"/>
        </w:rPr>
        <w:t xml:space="preserve">Colleges Represented in </w:t>
      </w:r>
      <w:proofErr w:type="spellStart"/>
      <w:r w:rsidR="00A71707">
        <w:rPr>
          <w:rFonts w:ascii="Cambria" w:hAnsi="Cambria" w:cstheme="minorHAnsi"/>
          <w:i/>
          <w:sz w:val="22"/>
        </w:rPr>
        <w:t>Tarea</w:t>
      </w:r>
      <w:proofErr w:type="spellEnd"/>
      <w:r w:rsidR="00A71707">
        <w:rPr>
          <w:rFonts w:ascii="Cambria" w:hAnsi="Cambria" w:cstheme="minorHAnsi"/>
          <w:i/>
          <w:sz w:val="22"/>
        </w:rPr>
        <w:t xml:space="preserve"> Time Fall 2017 Participants</w:t>
      </w:r>
    </w:p>
    <w:p w:rsidR="00E41F36" w:rsidRPr="00295C61" w:rsidRDefault="009E7B04" w:rsidP="00E41F36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noProof/>
        </w:rPr>
        <w:drawing>
          <wp:inline distT="0" distB="0" distL="0" distR="0" wp14:anchorId="220D91E2" wp14:editId="577DA073">
            <wp:extent cx="4756245" cy="2640842"/>
            <wp:effectExtent l="0" t="0" r="6350" b="76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7E8F" w:rsidRPr="00295C61" w:rsidRDefault="00DC7E8F" w:rsidP="00DC7E8F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295C61">
        <w:rPr>
          <w:rFonts w:ascii="Cambria" w:hAnsi="Cambria" w:cstheme="minorHAnsi"/>
          <w:i/>
          <w:sz w:val="22"/>
        </w:rPr>
        <w:t xml:space="preserve">Note: Cell sizes </w:t>
      </w:r>
      <w:r>
        <w:rPr>
          <w:rFonts w:ascii="Cambria" w:hAnsi="Cambria" w:cstheme="minorHAnsi"/>
          <w:i/>
          <w:sz w:val="22"/>
        </w:rPr>
        <w:t xml:space="preserve">&lt; </w:t>
      </w:r>
      <w:r w:rsidRPr="00295C61">
        <w:rPr>
          <w:rFonts w:ascii="Cambria" w:hAnsi="Cambria" w:cstheme="minorHAnsi"/>
          <w:i/>
          <w:sz w:val="22"/>
        </w:rPr>
        <w:t>10 were excluded</w:t>
      </w:r>
    </w:p>
    <w:p w:rsidR="00A71707" w:rsidRDefault="00A3087A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i/>
          <w:sz w:val="22"/>
        </w:rPr>
        <w:t xml:space="preserve">Figure </w:t>
      </w:r>
      <w:r w:rsidR="001A7847">
        <w:rPr>
          <w:rFonts w:ascii="Cambria" w:hAnsi="Cambria" w:cstheme="minorHAnsi"/>
          <w:i/>
          <w:sz w:val="22"/>
        </w:rPr>
        <w:t>3</w:t>
      </w:r>
      <w:r w:rsidRPr="00846C33">
        <w:rPr>
          <w:rFonts w:ascii="Cambria" w:hAnsi="Cambria" w:cstheme="minorHAnsi"/>
          <w:i/>
          <w:sz w:val="22"/>
        </w:rPr>
        <w:t xml:space="preserve">. </w:t>
      </w:r>
      <w:r w:rsidR="00A71707">
        <w:rPr>
          <w:rFonts w:ascii="Cambria" w:hAnsi="Cambria" w:cstheme="minorHAnsi"/>
          <w:i/>
          <w:sz w:val="22"/>
        </w:rPr>
        <w:t xml:space="preserve">Top Majors Represented in </w:t>
      </w:r>
      <w:proofErr w:type="spellStart"/>
      <w:r w:rsidR="00A71707">
        <w:rPr>
          <w:rFonts w:ascii="Cambria" w:hAnsi="Cambria" w:cstheme="minorHAnsi"/>
          <w:i/>
          <w:sz w:val="22"/>
        </w:rPr>
        <w:t>Tarea</w:t>
      </w:r>
      <w:proofErr w:type="spellEnd"/>
      <w:r w:rsidR="00A71707">
        <w:rPr>
          <w:rFonts w:ascii="Cambria" w:hAnsi="Cambria" w:cstheme="minorHAnsi"/>
          <w:i/>
          <w:sz w:val="22"/>
        </w:rPr>
        <w:t xml:space="preserve"> Time </w:t>
      </w:r>
      <w:r w:rsidR="00A71707">
        <w:rPr>
          <w:rFonts w:ascii="Cambria" w:hAnsi="Cambria" w:cstheme="minorHAnsi"/>
          <w:i/>
          <w:sz w:val="22"/>
        </w:rPr>
        <w:t>Winter 2018</w:t>
      </w:r>
      <w:r w:rsidR="00A71707">
        <w:rPr>
          <w:rFonts w:ascii="Cambria" w:hAnsi="Cambria" w:cstheme="minorHAnsi"/>
          <w:i/>
          <w:sz w:val="22"/>
        </w:rPr>
        <w:t xml:space="preserve"> Participants</w:t>
      </w:r>
    </w:p>
    <w:p w:rsidR="00A71707" w:rsidRDefault="00A71707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noProof/>
        </w:rPr>
        <w:drawing>
          <wp:inline distT="0" distB="0" distL="0" distR="0" wp14:anchorId="2F3DAB23" wp14:editId="50659CFF">
            <wp:extent cx="4667534" cy="2265529"/>
            <wp:effectExtent l="0" t="0" r="0" b="190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95C61">
        <w:rPr>
          <w:rFonts w:ascii="Cambria" w:hAnsi="Cambria" w:cstheme="minorHAnsi"/>
          <w:i/>
          <w:sz w:val="22"/>
        </w:rPr>
        <w:t xml:space="preserve"> </w:t>
      </w:r>
    </w:p>
    <w:p w:rsidR="00DC7E8F" w:rsidRPr="00295C61" w:rsidRDefault="00DC7E8F" w:rsidP="00A3087A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295C61">
        <w:rPr>
          <w:rFonts w:ascii="Cambria" w:hAnsi="Cambria" w:cstheme="minorHAnsi"/>
          <w:i/>
          <w:sz w:val="22"/>
        </w:rPr>
        <w:t xml:space="preserve">Note: Cell sizes </w:t>
      </w:r>
      <w:r>
        <w:rPr>
          <w:rFonts w:ascii="Cambria" w:hAnsi="Cambria" w:cstheme="minorHAnsi"/>
          <w:i/>
          <w:sz w:val="22"/>
        </w:rPr>
        <w:t xml:space="preserve">&lt; </w:t>
      </w:r>
      <w:r w:rsidRPr="00295C61">
        <w:rPr>
          <w:rFonts w:ascii="Cambria" w:hAnsi="Cambria" w:cstheme="minorHAnsi"/>
          <w:i/>
          <w:sz w:val="22"/>
        </w:rPr>
        <w:t>10 were excluded</w:t>
      </w:r>
    </w:p>
    <w:p w:rsidR="00A3087A" w:rsidRDefault="00E41F36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rFonts w:ascii="Cambria" w:hAnsi="Cambria" w:cstheme="minorHAnsi"/>
          <w:i/>
          <w:sz w:val="22"/>
        </w:rPr>
        <w:t xml:space="preserve">Figure </w:t>
      </w:r>
      <w:r w:rsidR="001A7847">
        <w:rPr>
          <w:rFonts w:ascii="Cambria" w:hAnsi="Cambria" w:cstheme="minorHAnsi"/>
          <w:i/>
          <w:sz w:val="22"/>
        </w:rPr>
        <w:t>4</w:t>
      </w:r>
      <w:r w:rsidRPr="00846C33">
        <w:rPr>
          <w:rFonts w:ascii="Cambria" w:hAnsi="Cambria" w:cstheme="minorHAnsi"/>
          <w:i/>
          <w:sz w:val="22"/>
        </w:rPr>
        <w:t xml:space="preserve">. </w:t>
      </w:r>
      <w:r w:rsidR="00A71707">
        <w:rPr>
          <w:rFonts w:ascii="Cambria" w:hAnsi="Cambria" w:cstheme="minorHAnsi"/>
          <w:i/>
          <w:sz w:val="22"/>
        </w:rPr>
        <w:t xml:space="preserve">Colleges Represented in </w:t>
      </w:r>
      <w:proofErr w:type="spellStart"/>
      <w:r w:rsidR="00A71707">
        <w:rPr>
          <w:rFonts w:ascii="Cambria" w:hAnsi="Cambria" w:cstheme="minorHAnsi"/>
          <w:i/>
          <w:sz w:val="22"/>
        </w:rPr>
        <w:t>Tarea</w:t>
      </w:r>
      <w:proofErr w:type="spellEnd"/>
      <w:r w:rsidR="00A71707">
        <w:rPr>
          <w:rFonts w:ascii="Cambria" w:hAnsi="Cambria" w:cstheme="minorHAnsi"/>
          <w:i/>
          <w:sz w:val="22"/>
        </w:rPr>
        <w:t xml:space="preserve"> Time </w:t>
      </w:r>
      <w:r w:rsidR="00A71707">
        <w:rPr>
          <w:rFonts w:ascii="Cambria" w:hAnsi="Cambria" w:cstheme="minorHAnsi"/>
          <w:i/>
          <w:sz w:val="22"/>
        </w:rPr>
        <w:t>Winter 2018</w:t>
      </w:r>
      <w:r w:rsidR="00A71707">
        <w:rPr>
          <w:rFonts w:ascii="Cambria" w:hAnsi="Cambria" w:cstheme="minorHAnsi"/>
          <w:i/>
          <w:sz w:val="22"/>
        </w:rPr>
        <w:t xml:space="preserve"> Participants</w:t>
      </w:r>
    </w:p>
    <w:p w:rsidR="00AE1B5F" w:rsidRDefault="00A71707">
      <w:pPr>
        <w:spacing w:after="160" w:line="259" w:lineRule="auto"/>
        <w:rPr>
          <w:rFonts w:ascii="Cambria" w:hAnsi="Cambria" w:cstheme="minorHAnsi"/>
          <w:i/>
          <w:sz w:val="22"/>
        </w:rPr>
      </w:pPr>
      <w:r>
        <w:rPr>
          <w:noProof/>
        </w:rPr>
        <w:drawing>
          <wp:inline distT="0" distB="0" distL="0" distR="0" wp14:anchorId="46A04212" wp14:editId="426759C7">
            <wp:extent cx="4701654" cy="2715904"/>
            <wp:effectExtent l="0" t="0" r="3810" b="825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4A04" w:rsidRDefault="00DC7E8F" w:rsidP="00074A04">
      <w:pPr>
        <w:spacing w:after="160" w:line="259" w:lineRule="auto"/>
        <w:rPr>
          <w:rFonts w:ascii="Cambria" w:hAnsi="Cambria" w:cstheme="minorHAnsi"/>
          <w:i/>
          <w:sz w:val="22"/>
        </w:rPr>
      </w:pPr>
      <w:r w:rsidRPr="00295C61">
        <w:rPr>
          <w:rFonts w:ascii="Cambria" w:hAnsi="Cambria" w:cstheme="minorHAnsi"/>
          <w:i/>
          <w:sz w:val="22"/>
        </w:rPr>
        <w:t xml:space="preserve">Note: Cell sizes </w:t>
      </w:r>
      <w:r>
        <w:rPr>
          <w:rFonts w:ascii="Cambria" w:hAnsi="Cambria" w:cstheme="minorHAnsi"/>
          <w:i/>
          <w:sz w:val="22"/>
        </w:rPr>
        <w:t xml:space="preserve">&lt; </w:t>
      </w:r>
      <w:r w:rsidRPr="00295C61">
        <w:rPr>
          <w:rFonts w:ascii="Cambria" w:hAnsi="Cambria" w:cstheme="minorHAnsi"/>
          <w:i/>
          <w:sz w:val="22"/>
        </w:rPr>
        <w:t>10 were excluded</w:t>
      </w:r>
    </w:p>
    <w:sectPr w:rsidR="00074A04" w:rsidSect="009739AD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34" w:rsidRDefault="00AD2034" w:rsidP="003A3E2E">
      <w:pPr>
        <w:spacing w:after="0"/>
      </w:pPr>
      <w:r>
        <w:separator/>
      </w:r>
    </w:p>
  </w:endnote>
  <w:endnote w:type="continuationSeparator" w:id="0">
    <w:p w:rsidR="00AD2034" w:rsidRDefault="00AD2034" w:rsidP="003A3E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2E" w:rsidRDefault="003A3E2E">
    <w:pPr>
      <w:pStyle w:val="Footer"/>
    </w:pPr>
    <w:r w:rsidRPr="003A3E2E">
      <w:rPr>
        <w:vertAlign w:val="superscript"/>
      </w:rPr>
      <w:t xml:space="preserve">1 </w:t>
    </w:r>
    <w:r>
      <w:t xml:space="preserve">From: </w:t>
    </w:r>
    <w:r w:rsidRPr="003A3E2E">
      <w:t>http://ir.uoregon.edu/detailenroll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34" w:rsidRDefault="00AD2034" w:rsidP="003A3E2E">
      <w:pPr>
        <w:spacing w:after="0"/>
      </w:pPr>
      <w:r>
        <w:separator/>
      </w:r>
    </w:p>
  </w:footnote>
  <w:footnote w:type="continuationSeparator" w:id="0">
    <w:p w:rsidR="00AD2034" w:rsidRDefault="00AD2034" w:rsidP="003A3E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7"/>
    <w:rsid w:val="00002681"/>
    <w:rsid w:val="0001519B"/>
    <w:rsid w:val="00034624"/>
    <w:rsid w:val="00035FEC"/>
    <w:rsid w:val="00074A04"/>
    <w:rsid w:val="00080B41"/>
    <w:rsid w:val="000D2FEC"/>
    <w:rsid w:val="000E0E95"/>
    <w:rsid w:val="00137F35"/>
    <w:rsid w:val="0014139D"/>
    <w:rsid w:val="001438A4"/>
    <w:rsid w:val="0015677C"/>
    <w:rsid w:val="00197E29"/>
    <w:rsid w:val="001A7847"/>
    <w:rsid w:val="00295C61"/>
    <w:rsid w:val="002B6ADA"/>
    <w:rsid w:val="002D2649"/>
    <w:rsid w:val="00304ACF"/>
    <w:rsid w:val="0036139C"/>
    <w:rsid w:val="0037161D"/>
    <w:rsid w:val="00375BB7"/>
    <w:rsid w:val="00381F97"/>
    <w:rsid w:val="00386600"/>
    <w:rsid w:val="003A3E2E"/>
    <w:rsid w:val="003E1E32"/>
    <w:rsid w:val="004328D8"/>
    <w:rsid w:val="004A4298"/>
    <w:rsid w:val="004E42B8"/>
    <w:rsid w:val="005105A9"/>
    <w:rsid w:val="005479B1"/>
    <w:rsid w:val="0055702B"/>
    <w:rsid w:val="00592C90"/>
    <w:rsid w:val="006202E3"/>
    <w:rsid w:val="0067556C"/>
    <w:rsid w:val="006B6FE6"/>
    <w:rsid w:val="006D2789"/>
    <w:rsid w:val="006D3607"/>
    <w:rsid w:val="006D4654"/>
    <w:rsid w:val="00731F44"/>
    <w:rsid w:val="00756D48"/>
    <w:rsid w:val="00777D72"/>
    <w:rsid w:val="007A09A7"/>
    <w:rsid w:val="007C45A1"/>
    <w:rsid w:val="007D0B80"/>
    <w:rsid w:val="007D7DBD"/>
    <w:rsid w:val="007F01FC"/>
    <w:rsid w:val="007F0E51"/>
    <w:rsid w:val="007F36A8"/>
    <w:rsid w:val="00803618"/>
    <w:rsid w:val="00827912"/>
    <w:rsid w:val="00833753"/>
    <w:rsid w:val="00846C33"/>
    <w:rsid w:val="00945CFB"/>
    <w:rsid w:val="00970DB3"/>
    <w:rsid w:val="009739AD"/>
    <w:rsid w:val="00982B31"/>
    <w:rsid w:val="009A5053"/>
    <w:rsid w:val="009D6438"/>
    <w:rsid w:val="009E7B04"/>
    <w:rsid w:val="00A3087A"/>
    <w:rsid w:val="00A61EB8"/>
    <w:rsid w:val="00A71707"/>
    <w:rsid w:val="00A95832"/>
    <w:rsid w:val="00AA6A47"/>
    <w:rsid w:val="00AC1C61"/>
    <w:rsid w:val="00AD2034"/>
    <w:rsid w:val="00AE08CC"/>
    <w:rsid w:val="00AE1B5F"/>
    <w:rsid w:val="00B17F8A"/>
    <w:rsid w:val="00B25737"/>
    <w:rsid w:val="00B51D27"/>
    <w:rsid w:val="00BA53EA"/>
    <w:rsid w:val="00BA619A"/>
    <w:rsid w:val="00BB1C81"/>
    <w:rsid w:val="00BD4B0A"/>
    <w:rsid w:val="00C26806"/>
    <w:rsid w:val="00C33F0E"/>
    <w:rsid w:val="00C50DE3"/>
    <w:rsid w:val="00C6026E"/>
    <w:rsid w:val="00C7439B"/>
    <w:rsid w:val="00CF64B9"/>
    <w:rsid w:val="00CF719C"/>
    <w:rsid w:val="00D468E9"/>
    <w:rsid w:val="00D46918"/>
    <w:rsid w:val="00D548D4"/>
    <w:rsid w:val="00D930E2"/>
    <w:rsid w:val="00DC7E8F"/>
    <w:rsid w:val="00E21193"/>
    <w:rsid w:val="00E23601"/>
    <w:rsid w:val="00E334BD"/>
    <w:rsid w:val="00E41F36"/>
    <w:rsid w:val="00EB37E5"/>
    <w:rsid w:val="00F0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D3491-6535-46FB-B0A9-66441FB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3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E2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3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E2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3E2E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E08CC"/>
    <w:pPr>
      <w:spacing w:after="0" w:line="240" w:lineRule="auto"/>
    </w:pPr>
    <w:rPr>
      <w:rFonts w:eastAsia="Times New Roman"/>
      <w:kern w:val="22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-storage1.uoregon.edu\HOME\reneedr\ReneeDR_Work\Career%20Center\Tarea%20Time\Fall%202017Tarea%20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-storage1.uoregon.edu\HOME\reneedr\ReneeDR_Work\Career%20Center\Tarea%20Time\Fall%202017Tarea%20Tim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-storage1.uoregon.edu\HOME\reneedr\ReneeDR_Work\Career%20Center\Tarea%20Time\WInter%202018%20Tarea%20Tim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-storage1.uoregon.edu\HOME\reneedr\ReneeDR_Work\Career%20Center\Tarea%20Time\WInter%202018%20Tarea%20Tim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400"/>
              <a:t>Top Majors Represented</a:t>
            </a:r>
          </a:p>
          <a:p>
            <a:pPr>
              <a:defRPr/>
            </a:pPr>
            <a:r>
              <a:rPr lang="en-US" sz="1100"/>
              <a:t>Fall 2017</a:t>
            </a:r>
          </a:p>
          <a:p>
            <a:pPr>
              <a:defRPr/>
            </a:pPr>
            <a:r>
              <a:rPr lang="en-US" sz="1100"/>
              <a:t>%age of students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Percent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Psychology</c:v>
                </c:pt>
                <c:pt idx="1">
                  <c:v>Ethnic Studies</c:v>
                </c:pt>
                <c:pt idx="2">
                  <c:v>Spanish</c:v>
                </c:pt>
                <c:pt idx="3">
                  <c:v>Undeclared-No major designated</c:v>
                </c:pt>
                <c:pt idx="4">
                  <c:v>General Social Science</c:v>
                </c:pt>
                <c:pt idx="5">
                  <c:v>Human Physiology</c:v>
                </c:pt>
                <c:pt idx="6">
                  <c:v>Linguistics</c:v>
                </c:pt>
              </c:strCache>
            </c:strRef>
          </c:cat>
          <c:val>
            <c:numRef>
              <c:f>Sheet2!$B$2:$B$8</c:f>
              <c:numCache>
                <c:formatCode>General</c:formatCode>
                <c:ptCount val="7"/>
                <c:pt idx="0">
                  <c:v>12.5</c:v>
                </c:pt>
                <c:pt idx="1">
                  <c:v>9.4</c:v>
                </c:pt>
                <c:pt idx="2">
                  <c:v>9.4</c:v>
                </c:pt>
                <c:pt idx="3">
                  <c:v>9.4</c:v>
                </c:pt>
                <c:pt idx="4">
                  <c:v>6.3</c:v>
                </c:pt>
                <c:pt idx="5">
                  <c:v>6.3</c:v>
                </c:pt>
                <c:pt idx="6">
                  <c:v>6.3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254622624"/>
        <c:axId val="-254636768"/>
      </c:barChart>
      <c:catAx>
        <c:axId val="-25462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54636768"/>
        <c:crosses val="autoZero"/>
        <c:auto val="1"/>
        <c:lblAlgn val="ctr"/>
        <c:lblOffset val="100"/>
        <c:noMultiLvlLbl val="0"/>
      </c:catAx>
      <c:valAx>
        <c:axId val="-254636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5462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College Representation</a:t>
            </a:r>
          </a:p>
          <a:p>
            <a:pPr>
              <a:defRPr/>
            </a:pPr>
            <a:r>
              <a:rPr lang="en-US" sz="1100"/>
              <a:t>Fall 2017</a:t>
            </a:r>
          </a:p>
          <a:p>
            <a:pPr>
              <a:defRPr/>
            </a:pPr>
            <a:r>
              <a:rPr lang="en-US" sz="1100"/>
              <a:t>%age of students</a:t>
            </a:r>
          </a:p>
        </c:rich>
      </c:tx>
      <c:layout>
        <c:manualLayout>
          <c:xMode val="edge"/>
          <c:yMode val="edge"/>
          <c:x val="0.26500678040244968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Percent</c:v>
                </c:pt>
              </c:strCache>
            </c:strRef>
          </c:tx>
          <c:spPr>
            <a:ln w="25400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Sheet3!$A$2:$A$6</c:f>
              <c:strCache>
                <c:ptCount val="5"/>
                <c:pt idx="0">
                  <c:v>Arts &amp; Sciences, College of</c:v>
                </c:pt>
                <c:pt idx="1">
                  <c:v>Education, College of</c:v>
                </c:pt>
                <c:pt idx="2">
                  <c:v>Business, Lundquist College of</c:v>
                </c:pt>
                <c:pt idx="3">
                  <c:v>Design, College of</c:v>
                </c:pt>
                <c:pt idx="4">
                  <c:v>Journalism and Communication</c:v>
                </c:pt>
              </c:strCache>
            </c:strRef>
          </c:cat>
          <c:val>
            <c:numRef>
              <c:f>Sheet3!$B$2:$B$6</c:f>
              <c:numCache>
                <c:formatCode>General</c:formatCode>
                <c:ptCount val="5"/>
                <c:pt idx="0">
                  <c:v>78.099999999999994</c:v>
                </c:pt>
                <c:pt idx="1">
                  <c:v>9.4</c:v>
                </c:pt>
                <c:pt idx="2">
                  <c:v>3.1</c:v>
                </c:pt>
                <c:pt idx="3">
                  <c:v>3.1</c:v>
                </c:pt>
                <c:pt idx="4">
                  <c:v>3.1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-211630192"/>
        <c:axId val="-254626976"/>
      </c:lineChart>
      <c:catAx>
        <c:axId val="-21163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3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54626976"/>
        <c:crosses val="autoZero"/>
        <c:auto val="1"/>
        <c:lblAlgn val="ctr"/>
        <c:lblOffset val="100"/>
        <c:noMultiLvlLbl val="0"/>
      </c:catAx>
      <c:valAx>
        <c:axId val="-2546269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11630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 sz="1400"/>
              <a:t>Top Majors Represented</a:t>
            </a:r>
          </a:p>
          <a:p>
            <a:pPr>
              <a:defRPr/>
            </a:pPr>
            <a:r>
              <a:rPr lang="en-US" sz="1100"/>
              <a:t>Winter 2018</a:t>
            </a:r>
          </a:p>
          <a:p>
            <a:pPr>
              <a:defRPr/>
            </a:pPr>
            <a:r>
              <a:rPr lang="en-US" sz="1100"/>
              <a:t>%age of students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Undeclared-No major designated</c:v>
                </c:pt>
                <c:pt idx="1">
                  <c:v>Pre-Business Administration</c:v>
                </c:pt>
                <c:pt idx="2">
                  <c:v>Psychology</c:v>
                </c:pt>
                <c:pt idx="3">
                  <c:v>Spanish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13</c:v>
                </c:pt>
                <c:pt idx="2">
                  <c:v>13</c:v>
                </c:pt>
                <c:pt idx="3">
                  <c:v>8.6999999999999993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212623504"/>
        <c:axId val="-212620784"/>
      </c:barChart>
      <c:catAx>
        <c:axId val="-2126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620784"/>
        <c:crosses val="autoZero"/>
        <c:auto val="1"/>
        <c:lblAlgn val="ctr"/>
        <c:lblOffset val="100"/>
        <c:noMultiLvlLbl val="0"/>
      </c:catAx>
      <c:valAx>
        <c:axId val="-212620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21262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college representation</a:t>
            </a:r>
          </a:p>
          <a:p>
            <a:pPr>
              <a:defRPr/>
            </a:pPr>
            <a:r>
              <a:rPr lang="en-US" sz="1100"/>
              <a:t>Winter 2018</a:t>
            </a:r>
          </a:p>
          <a:p>
            <a:pPr>
              <a:defRPr/>
            </a:pPr>
            <a:r>
              <a:rPr lang="en-US" sz="1100"/>
              <a:t>%age of students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Percent</c:v>
                </c:pt>
              </c:strCache>
            </c:strRef>
          </c:tx>
          <c:spPr>
            <a:ln w="25400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Sheet2!$A$2:$A$5</c:f>
              <c:strCache>
                <c:ptCount val="4"/>
                <c:pt idx="0">
                  <c:v>Arts &amp; Sciences, College of</c:v>
                </c:pt>
                <c:pt idx="1">
                  <c:v>Business, Lundquist College of</c:v>
                </c:pt>
                <c:pt idx="2">
                  <c:v>Education, College of</c:v>
                </c:pt>
                <c:pt idx="3">
                  <c:v>Journalism and Communication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69.599999999999994</c:v>
                </c:pt>
                <c:pt idx="1">
                  <c:v>13</c:v>
                </c:pt>
                <c:pt idx="2">
                  <c:v>13</c:v>
                </c:pt>
                <c:pt idx="3">
                  <c:v>4.3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-118041360"/>
        <c:axId val="-118050608"/>
      </c:lineChart>
      <c:catAx>
        <c:axId val="-11804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3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8050608"/>
        <c:crosses val="autoZero"/>
        <c:auto val="1"/>
        <c:lblAlgn val="ctr"/>
        <c:lblOffset val="100"/>
        <c:noMultiLvlLbl val="0"/>
      </c:catAx>
      <c:valAx>
        <c:axId val="-118050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1804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/>
    </a:solidFill>
    <a:ln w="9525" cap="flat" cmpd="sng" algn="ctr">
      <a:solidFill>
        <a:schemeClr val="lt1">
          <a:lumMod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8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spc="3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lumMod val="85000"/>
          </a:schemeClr>
        </a:solidFill>
        <a:round/>
      </a:ln>
    </cs:spPr>
    <cs:defRPr sz="1000" kern="1200"/>
  </cs:chartArea>
  <cs:dataLabel>
    <cs:lnRef idx="0"/>
    <cs:fillRef idx="0">
      <cs:styleClr val="0"/>
    </cs:fillRef>
    <cs:effectRef idx="0"/>
    <cs:fontRef idx="minor">
      <a:schemeClr val="lt1"/>
    </cs:fontRef>
    <cs:spPr>
      <a:solidFill>
        <a:schemeClr val="phClr"/>
      </a:solidFill>
    </cs:spPr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5400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8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defRPr sz="900" kern="1200" spc="3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lumMod val="85000"/>
          </a:schemeClr>
        </a:solidFill>
        <a:round/>
      </a:ln>
    </cs:spPr>
    <cs:defRPr sz="1000" kern="1200"/>
  </cs:chartArea>
  <cs:dataLabel>
    <cs:lnRef idx="0"/>
    <cs:fillRef idx="0">
      <cs:styleClr val="0"/>
    </cs:fillRef>
    <cs:effectRef idx="0"/>
    <cs:fontRef idx="minor">
      <a:schemeClr val="lt1"/>
    </cs:fontRef>
    <cs:spPr>
      <a:solidFill>
        <a:schemeClr val="phClr"/>
      </a:solidFill>
    </cs:spPr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25400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Delgado-Riley</dc:creator>
  <cp:keywords/>
  <dc:description/>
  <cp:lastModifiedBy>Renee Delgado-Riley</cp:lastModifiedBy>
  <cp:revision>2</cp:revision>
  <dcterms:created xsi:type="dcterms:W3CDTF">2018-03-09T21:22:00Z</dcterms:created>
  <dcterms:modified xsi:type="dcterms:W3CDTF">2018-03-09T21:22:00Z</dcterms:modified>
</cp:coreProperties>
</file>