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C914" w14:textId="77777777" w:rsidR="007D7B8A" w:rsidRDefault="00E14959">
      <w:pPr>
        <w:spacing w:line="259" w:lineRule="auto"/>
        <w:ind w:left="0" w:right="6090" w:firstLine="0"/>
      </w:pPr>
      <w:r>
        <w:t xml:space="preserve"> </w:t>
      </w:r>
    </w:p>
    <w:p w14:paraId="719EDBB4" w14:textId="77777777" w:rsidR="007D7B8A" w:rsidRDefault="00E14959">
      <w:pPr>
        <w:spacing w:line="259" w:lineRule="auto"/>
        <w:ind w:left="720" w:firstLine="0"/>
      </w:pPr>
      <w:r>
        <w:rPr>
          <w:noProof/>
        </w:rPr>
        <w:drawing>
          <wp:inline distT="0" distB="0" distL="0" distR="0" wp14:anchorId="5FD60A36" wp14:editId="3152A1B2">
            <wp:extent cx="2065931" cy="68389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8"/>
                    <a:stretch>
                      <a:fillRect/>
                    </a:stretch>
                  </pic:blipFill>
                  <pic:spPr>
                    <a:xfrm>
                      <a:off x="0" y="0"/>
                      <a:ext cx="2065931" cy="683895"/>
                    </a:xfrm>
                    <a:prstGeom prst="rect">
                      <a:avLst/>
                    </a:prstGeom>
                  </pic:spPr>
                </pic:pic>
              </a:graphicData>
            </a:graphic>
          </wp:inline>
        </w:drawing>
      </w:r>
      <w:r>
        <w:rPr>
          <w:rFonts w:ascii="Book Antiqua" w:eastAsia="Book Antiqua" w:hAnsi="Book Antiqua" w:cs="Book Antiqua"/>
        </w:rPr>
        <w:t xml:space="preserve"> </w:t>
      </w:r>
    </w:p>
    <w:tbl>
      <w:tblPr>
        <w:tblStyle w:val="TableGrid"/>
        <w:tblW w:w="9266" w:type="dxa"/>
        <w:tblInd w:w="720" w:type="dxa"/>
        <w:tblLook w:val="04A0" w:firstRow="1" w:lastRow="0" w:firstColumn="1" w:lastColumn="0" w:noHBand="0" w:noVBand="1"/>
      </w:tblPr>
      <w:tblGrid>
        <w:gridCol w:w="2160"/>
        <w:gridCol w:w="7106"/>
      </w:tblGrid>
      <w:tr w:rsidR="007D7B8A" w14:paraId="71FC154A" w14:textId="77777777">
        <w:trPr>
          <w:trHeight w:val="1068"/>
        </w:trPr>
        <w:tc>
          <w:tcPr>
            <w:tcW w:w="2160" w:type="dxa"/>
            <w:tcBorders>
              <w:top w:val="nil"/>
              <w:left w:val="nil"/>
              <w:bottom w:val="nil"/>
              <w:right w:val="nil"/>
            </w:tcBorders>
          </w:tcPr>
          <w:p w14:paraId="765F879E" w14:textId="77777777" w:rsidR="007D7B8A" w:rsidRDefault="00E14959">
            <w:pPr>
              <w:spacing w:after="518" w:line="259" w:lineRule="auto"/>
              <w:ind w:left="360" w:firstLine="0"/>
            </w:pPr>
            <w:r>
              <w:rPr>
                <w:rFonts w:ascii="Book Antiqua" w:eastAsia="Book Antiqua" w:hAnsi="Book Antiqua" w:cs="Book Antiqua"/>
              </w:rPr>
              <w:t xml:space="preserve"> </w:t>
            </w:r>
          </w:p>
          <w:p w14:paraId="49E2A2B9" w14:textId="77777777" w:rsidR="007D7B8A" w:rsidRDefault="00E14959">
            <w:pPr>
              <w:spacing w:line="259" w:lineRule="auto"/>
              <w:ind w:left="0" w:firstLine="0"/>
            </w:pPr>
            <w:r>
              <w:rPr>
                <w:b/>
              </w:rPr>
              <w:t xml:space="preserve"> </w:t>
            </w:r>
          </w:p>
        </w:tc>
        <w:tc>
          <w:tcPr>
            <w:tcW w:w="7106" w:type="dxa"/>
            <w:tcBorders>
              <w:top w:val="nil"/>
              <w:left w:val="nil"/>
              <w:bottom w:val="nil"/>
              <w:right w:val="nil"/>
            </w:tcBorders>
          </w:tcPr>
          <w:p w14:paraId="16896375" w14:textId="77777777" w:rsidR="007D7B8A" w:rsidRDefault="00E14959">
            <w:pPr>
              <w:spacing w:line="259" w:lineRule="auto"/>
              <w:ind w:left="3754" w:firstLine="0"/>
              <w:jc w:val="center"/>
            </w:pPr>
            <w:r>
              <w:rPr>
                <w:rFonts w:ascii="Book Antiqua" w:eastAsia="Book Antiqua" w:hAnsi="Book Antiqua" w:cs="Book Antiqua"/>
              </w:rPr>
              <w:t xml:space="preserve"> </w:t>
            </w:r>
          </w:p>
          <w:p w14:paraId="4FAB0104" w14:textId="77777777" w:rsidR="00014D85" w:rsidRPr="00014D85" w:rsidRDefault="00E14959" w:rsidP="00014D85">
            <w:pPr>
              <w:spacing w:line="240" w:lineRule="auto"/>
              <w:ind w:left="0" w:firstLine="0"/>
              <w:rPr>
                <w:b/>
                <w:color w:val="auto"/>
                <w:szCs w:val="24"/>
              </w:rPr>
            </w:pPr>
            <w:r>
              <w:rPr>
                <w:b/>
              </w:rPr>
              <w:t xml:space="preserve">POSITION </w:t>
            </w:r>
            <w:r w:rsidRPr="00014D85">
              <w:rPr>
                <w:b/>
                <w:szCs w:val="24"/>
              </w:rPr>
              <w:t xml:space="preserve">ANNOUNCEMENT # </w:t>
            </w:r>
            <w:r w:rsidR="00014D85" w:rsidRPr="00014D85">
              <w:rPr>
                <w:b/>
                <w:color w:val="auto"/>
                <w:szCs w:val="24"/>
              </w:rPr>
              <w:t>0001-4645</w:t>
            </w:r>
          </w:p>
          <w:p w14:paraId="2FB94796" w14:textId="191864EB" w:rsidR="007D7B8A" w:rsidRDefault="00E14959">
            <w:pPr>
              <w:spacing w:line="259" w:lineRule="auto"/>
              <w:ind w:left="1227" w:right="588" w:hanging="1018"/>
            </w:pPr>
            <w:r>
              <w:rPr>
                <w:b/>
              </w:rPr>
              <w:t xml:space="preserve">REQUISITION </w:t>
            </w:r>
            <w:r w:rsidRPr="00097F8E">
              <w:rPr>
                <w:b/>
              </w:rPr>
              <w:t xml:space="preserve"># </w:t>
            </w:r>
            <w:r w:rsidR="00097F8E" w:rsidRPr="00097F8E">
              <w:rPr>
                <w:b/>
              </w:rPr>
              <w:t>524177</w:t>
            </w:r>
            <w:r>
              <w:rPr>
                <w:b/>
              </w:rPr>
              <w:t xml:space="preserve"> </w:t>
            </w:r>
          </w:p>
        </w:tc>
      </w:tr>
      <w:tr w:rsidR="007D7B8A" w14:paraId="34B73A85" w14:textId="77777777">
        <w:trPr>
          <w:trHeight w:val="552"/>
        </w:trPr>
        <w:tc>
          <w:tcPr>
            <w:tcW w:w="2160" w:type="dxa"/>
            <w:tcBorders>
              <w:top w:val="nil"/>
              <w:left w:val="nil"/>
              <w:bottom w:val="nil"/>
              <w:right w:val="nil"/>
            </w:tcBorders>
          </w:tcPr>
          <w:p w14:paraId="6EC9A2E1" w14:textId="77777777" w:rsidR="007D7B8A" w:rsidRDefault="00E14959">
            <w:pPr>
              <w:spacing w:line="259" w:lineRule="auto"/>
              <w:ind w:left="0" w:firstLine="0"/>
            </w:pPr>
            <w:r>
              <w:rPr>
                <w:b/>
              </w:rPr>
              <w:t xml:space="preserve">Title: </w:t>
            </w:r>
          </w:p>
          <w:p w14:paraId="487A7A43" w14:textId="77777777" w:rsidR="007D7B8A" w:rsidRDefault="00E14959">
            <w:pPr>
              <w:spacing w:line="259" w:lineRule="auto"/>
              <w:ind w:left="0" w:firstLine="0"/>
            </w:pPr>
            <w:r>
              <w:rPr>
                <w:b/>
              </w:rPr>
              <w:t xml:space="preserve"> </w:t>
            </w:r>
          </w:p>
        </w:tc>
        <w:tc>
          <w:tcPr>
            <w:tcW w:w="7106" w:type="dxa"/>
            <w:tcBorders>
              <w:top w:val="nil"/>
              <w:left w:val="nil"/>
              <w:bottom w:val="nil"/>
              <w:right w:val="nil"/>
            </w:tcBorders>
          </w:tcPr>
          <w:p w14:paraId="1DB1452B" w14:textId="77777777" w:rsidR="007D7B8A" w:rsidRDefault="00E14959">
            <w:pPr>
              <w:spacing w:line="259" w:lineRule="auto"/>
              <w:ind w:left="0" w:firstLine="0"/>
            </w:pPr>
            <w:r>
              <w:rPr>
                <w:b/>
              </w:rPr>
              <w:t xml:space="preserve">Assistant Professor, Prevention Science/Youth Development </w:t>
            </w:r>
          </w:p>
        </w:tc>
      </w:tr>
      <w:tr w:rsidR="007D7B8A" w14:paraId="1270E9CE" w14:textId="77777777">
        <w:trPr>
          <w:trHeight w:val="1380"/>
        </w:trPr>
        <w:tc>
          <w:tcPr>
            <w:tcW w:w="2160" w:type="dxa"/>
            <w:tcBorders>
              <w:top w:val="nil"/>
              <w:left w:val="nil"/>
              <w:bottom w:val="nil"/>
              <w:right w:val="nil"/>
            </w:tcBorders>
          </w:tcPr>
          <w:p w14:paraId="744CC71F" w14:textId="77777777" w:rsidR="007D7B8A" w:rsidRDefault="00E14959">
            <w:pPr>
              <w:spacing w:after="804" w:line="259" w:lineRule="auto"/>
              <w:ind w:left="0" w:firstLine="0"/>
            </w:pPr>
            <w:r>
              <w:rPr>
                <w:b/>
              </w:rPr>
              <w:t xml:space="preserve">Location: </w:t>
            </w:r>
          </w:p>
          <w:p w14:paraId="407FE30D" w14:textId="77777777" w:rsidR="007D7B8A" w:rsidRDefault="00E14959">
            <w:pPr>
              <w:spacing w:line="259" w:lineRule="auto"/>
              <w:ind w:left="0" w:firstLine="0"/>
            </w:pPr>
            <w:r>
              <w:rPr>
                <w:b/>
              </w:rPr>
              <w:t xml:space="preserve"> </w:t>
            </w:r>
          </w:p>
        </w:tc>
        <w:tc>
          <w:tcPr>
            <w:tcW w:w="7106" w:type="dxa"/>
            <w:tcBorders>
              <w:top w:val="nil"/>
              <w:left w:val="nil"/>
              <w:bottom w:val="nil"/>
              <w:right w:val="nil"/>
            </w:tcBorders>
          </w:tcPr>
          <w:p w14:paraId="05364E0E" w14:textId="2D98C40B" w:rsidR="007D7B8A" w:rsidRDefault="00831CEC">
            <w:pPr>
              <w:spacing w:line="259" w:lineRule="auto"/>
              <w:ind w:left="0" w:firstLine="0"/>
            </w:pPr>
            <w:r>
              <w:rPr>
                <w:b/>
              </w:rPr>
              <w:t xml:space="preserve">Department of </w:t>
            </w:r>
            <w:r w:rsidR="00E14959">
              <w:rPr>
                <w:b/>
              </w:rPr>
              <w:t xml:space="preserve">Family, Youth and Community Sciences </w:t>
            </w:r>
          </w:p>
          <w:p w14:paraId="0F5D2AE2" w14:textId="77777777" w:rsidR="007D7B8A" w:rsidRDefault="00E14959">
            <w:pPr>
              <w:spacing w:line="259" w:lineRule="auto"/>
              <w:ind w:left="0" w:firstLine="0"/>
            </w:pPr>
            <w:r>
              <w:rPr>
                <w:b/>
              </w:rPr>
              <w:t xml:space="preserve">University of Florida </w:t>
            </w:r>
          </w:p>
          <w:p w14:paraId="0442D1A2" w14:textId="77777777" w:rsidR="007D7B8A" w:rsidRDefault="00E14959">
            <w:pPr>
              <w:spacing w:line="259" w:lineRule="auto"/>
              <w:ind w:left="0" w:right="679" w:firstLine="0"/>
            </w:pPr>
            <w:r>
              <w:rPr>
                <w:b/>
              </w:rPr>
              <w:t xml:space="preserve">Institute of Food and Agricultural Sciences (IFAS) Gainesville, Florida  </w:t>
            </w:r>
          </w:p>
        </w:tc>
      </w:tr>
      <w:tr w:rsidR="007D7B8A" w14:paraId="6ACFB973" w14:textId="77777777">
        <w:trPr>
          <w:trHeight w:val="552"/>
        </w:trPr>
        <w:tc>
          <w:tcPr>
            <w:tcW w:w="2160" w:type="dxa"/>
            <w:tcBorders>
              <w:top w:val="nil"/>
              <w:left w:val="nil"/>
              <w:bottom w:val="nil"/>
              <w:right w:val="nil"/>
            </w:tcBorders>
          </w:tcPr>
          <w:p w14:paraId="10C62EEC" w14:textId="77777777" w:rsidR="007D7B8A" w:rsidRDefault="00E14959">
            <w:pPr>
              <w:spacing w:line="259" w:lineRule="auto"/>
              <w:ind w:left="0" w:firstLine="0"/>
            </w:pPr>
            <w:r>
              <w:rPr>
                <w:b/>
              </w:rPr>
              <w:t xml:space="preserve">Salary: </w:t>
            </w:r>
          </w:p>
          <w:p w14:paraId="1E02D839" w14:textId="77777777" w:rsidR="007D7B8A" w:rsidRDefault="00E14959">
            <w:pPr>
              <w:spacing w:line="259" w:lineRule="auto"/>
              <w:ind w:left="0" w:firstLine="0"/>
            </w:pPr>
            <w:r>
              <w:rPr>
                <w:b/>
              </w:rPr>
              <w:t xml:space="preserve"> </w:t>
            </w:r>
          </w:p>
        </w:tc>
        <w:tc>
          <w:tcPr>
            <w:tcW w:w="7106" w:type="dxa"/>
            <w:tcBorders>
              <w:top w:val="nil"/>
              <w:left w:val="nil"/>
              <w:bottom w:val="nil"/>
              <w:right w:val="nil"/>
            </w:tcBorders>
          </w:tcPr>
          <w:p w14:paraId="6E2DB6EE" w14:textId="77777777" w:rsidR="007D7B8A" w:rsidRDefault="00E14959">
            <w:pPr>
              <w:spacing w:line="259" w:lineRule="auto"/>
              <w:ind w:left="0" w:firstLine="0"/>
            </w:pPr>
            <w:r>
              <w:rPr>
                <w:b/>
              </w:rPr>
              <w:t xml:space="preserve">Commensurate with Qualifications and Experience </w:t>
            </w:r>
          </w:p>
        </w:tc>
      </w:tr>
      <w:tr w:rsidR="007D7B8A" w14:paraId="7F9E3DA0" w14:textId="77777777">
        <w:trPr>
          <w:trHeight w:val="856"/>
        </w:trPr>
        <w:tc>
          <w:tcPr>
            <w:tcW w:w="2160" w:type="dxa"/>
            <w:tcBorders>
              <w:top w:val="nil"/>
              <w:left w:val="nil"/>
              <w:bottom w:val="nil"/>
              <w:right w:val="nil"/>
            </w:tcBorders>
          </w:tcPr>
          <w:p w14:paraId="3E0A6DAF" w14:textId="77777777" w:rsidR="007D7B8A" w:rsidRDefault="00E14959">
            <w:pPr>
              <w:spacing w:line="259" w:lineRule="auto"/>
              <w:ind w:left="0" w:firstLine="0"/>
            </w:pPr>
            <w:r>
              <w:rPr>
                <w:b/>
              </w:rPr>
              <w:t xml:space="preserve">Review Date: </w:t>
            </w:r>
          </w:p>
        </w:tc>
        <w:tc>
          <w:tcPr>
            <w:tcW w:w="7106" w:type="dxa"/>
            <w:tcBorders>
              <w:top w:val="nil"/>
              <w:left w:val="nil"/>
              <w:bottom w:val="nil"/>
              <w:right w:val="nil"/>
            </w:tcBorders>
          </w:tcPr>
          <w:p w14:paraId="311EA49F" w14:textId="5F00658F" w:rsidR="007D7B8A" w:rsidRDefault="00E14959">
            <w:pPr>
              <w:spacing w:line="259" w:lineRule="auto"/>
              <w:ind w:left="0" w:firstLine="0"/>
            </w:pPr>
            <w:r>
              <w:rPr>
                <w:b/>
              </w:rPr>
              <w:t xml:space="preserve">For full consideration, candidates should apply and submit materials by </w:t>
            </w:r>
            <w:r w:rsidR="00E8358F">
              <w:rPr>
                <w:b/>
              </w:rPr>
              <w:t>November</w:t>
            </w:r>
            <w:r>
              <w:rPr>
                <w:b/>
              </w:rPr>
              <w:t xml:space="preserve"> </w:t>
            </w:r>
            <w:r w:rsidR="00E8358F">
              <w:rPr>
                <w:b/>
              </w:rPr>
              <w:t>15</w:t>
            </w:r>
            <w:r>
              <w:rPr>
                <w:b/>
              </w:rPr>
              <w:t>, 20</w:t>
            </w:r>
            <w:r w:rsidR="00831CEC">
              <w:rPr>
                <w:b/>
              </w:rPr>
              <w:t>22</w:t>
            </w:r>
            <w:r>
              <w:rPr>
                <w:b/>
              </w:rPr>
              <w:t>.  The position will remain open until a viable applicant pool is determined.</w:t>
            </w:r>
            <w:r>
              <w:rPr>
                <w:b/>
                <w:i/>
              </w:rPr>
              <w:t xml:space="preserve"> </w:t>
            </w:r>
          </w:p>
        </w:tc>
      </w:tr>
    </w:tbl>
    <w:p w14:paraId="0412D71E" w14:textId="68171144" w:rsidR="00A04CE9" w:rsidRDefault="00E14959" w:rsidP="00097F8E">
      <w:pPr>
        <w:spacing w:line="259" w:lineRule="auto"/>
        <w:ind w:left="720" w:firstLine="0"/>
      </w:pPr>
      <w:r>
        <w:t xml:space="preserve"> </w:t>
      </w:r>
    </w:p>
    <w:p w14:paraId="7ED6D4A7" w14:textId="1F831D96" w:rsidR="007D7B8A" w:rsidRDefault="00E14959">
      <w:pPr>
        <w:pStyle w:val="Heading1"/>
        <w:ind w:left="715"/>
      </w:pPr>
      <w:r>
        <w:t>Duties and Responsibilities</w:t>
      </w:r>
      <w:r>
        <w:rPr>
          <w:u w:val="none"/>
        </w:rPr>
        <w:t xml:space="preserve"> </w:t>
      </w:r>
    </w:p>
    <w:p w14:paraId="3E82652D" w14:textId="77777777" w:rsidR="009737F0" w:rsidRDefault="009737F0" w:rsidP="009737F0">
      <w:pPr>
        <w:rPr>
          <w:sz w:val="22"/>
        </w:rPr>
      </w:pPr>
      <w:r>
        <w:t xml:space="preserve">The </w:t>
      </w:r>
      <w:hyperlink r:id="rId9" w:history="1">
        <w:r>
          <w:rPr>
            <w:rStyle w:val="Hyperlink"/>
          </w:rPr>
          <w:t>Institute of Food and Agricultural Sciences</w:t>
        </w:r>
      </w:hyperlink>
      <w:r>
        <w:t xml:space="preserve"> is committed to creating an environment of inclusive excellence that affirms diversity across a variety of dimensions, including ability, class, ethnicity/race, gender identity and expression. </w:t>
      </w:r>
      <w:r w:rsidRPr="005419C6">
        <w:t>Inclusive excellence is the active process of including and respecting everyone as we strive for excellence and equitable outcomes in all we do at the University of Florida</w:t>
      </w:r>
      <w:r>
        <w:t xml:space="preserve">. We particularly welcome applicants who can contribute to such an environment through their scholarship, teaching, mentoring, and professional service. We strongly encourage historically underrepresented groups to apply. </w:t>
      </w:r>
    </w:p>
    <w:p w14:paraId="2B7057CD" w14:textId="77777777" w:rsidR="009737F0" w:rsidRDefault="009737F0" w:rsidP="009737F0">
      <w:pPr>
        <w:outlineLvl w:val="0"/>
        <w:rPr>
          <w:rFonts w:ascii="Calibri" w:eastAsiaTheme="minorHAnsi" w:hAnsi="Calibri" w:cs="Calibri"/>
        </w:rPr>
      </w:pPr>
    </w:p>
    <w:p w14:paraId="0FE525E6" w14:textId="77777777" w:rsidR="009737F0" w:rsidRDefault="009737F0" w:rsidP="009737F0">
      <w:pPr>
        <w:outlineLvl w:val="0"/>
      </w:pPr>
      <w:r>
        <w:t xml:space="preserve">If an accommodation due to a disability is needed to apply for this position, please call 352-392-2477 or the Florida Relay System at 800-955-8771 (TDD) or visit </w:t>
      </w:r>
      <w:hyperlink r:id="rId10" w:tgtFrame="_blank" w:history="1">
        <w:r>
          <w:rPr>
            <w:rStyle w:val="Hyperlink"/>
            <w:color w:val="00529B"/>
          </w:rPr>
          <w:t>Accessibility at UF</w:t>
        </w:r>
      </w:hyperlink>
      <w:r>
        <w:t xml:space="preserve"> .</w:t>
      </w:r>
    </w:p>
    <w:p w14:paraId="74012101" w14:textId="77777777" w:rsidR="009737F0" w:rsidRDefault="009737F0">
      <w:pPr>
        <w:ind w:left="715"/>
      </w:pPr>
    </w:p>
    <w:p w14:paraId="0519A17D" w14:textId="2E06EDAD" w:rsidR="00117520" w:rsidRDefault="00E14959">
      <w:pPr>
        <w:ind w:left="715"/>
      </w:pPr>
      <w:r>
        <w:t>The department is seeking a well-qualified candidate to support graduate and undergraduate education</w:t>
      </w:r>
      <w:r w:rsidR="003E13A4">
        <w:t xml:space="preserve"> and research, </w:t>
      </w:r>
      <w:r>
        <w:t>including our Ph.D. program in Youth Development and Family Science</w:t>
      </w:r>
      <w:r w:rsidR="00831CEC">
        <w:t>s</w:t>
      </w:r>
      <w:r>
        <w:t xml:space="preserve">. </w:t>
      </w:r>
      <w:r w:rsidR="008722F9" w:rsidRPr="008722F9">
        <w:t>The candidate must have ex</w:t>
      </w:r>
      <w:r w:rsidR="00117520">
        <w:t xml:space="preserve">pertise </w:t>
      </w:r>
      <w:r w:rsidR="008722F9" w:rsidRPr="008722F9">
        <w:t xml:space="preserve">in prevention </w:t>
      </w:r>
      <w:r w:rsidR="00C74977">
        <w:t>s</w:t>
      </w:r>
      <w:r w:rsidR="008722F9" w:rsidRPr="008722F9">
        <w:t>cience</w:t>
      </w:r>
      <w:r w:rsidR="003E13A4">
        <w:t xml:space="preserve"> </w:t>
      </w:r>
      <w:r w:rsidR="00117520">
        <w:t xml:space="preserve">and youth development </w:t>
      </w:r>
      <w:r w:rsidR="003E13A4">
        <w:t>broadly.</w:t>
      </w:r>
      <w:r w:rsidR="00117520">
        <w:t xml:space="preserve"> Example emphases, though not exhaustive, </w:t>
      </w:r>
      <w:r w:rsidR="00284320">
        <w:t xml:space="preserve">might </w:t>
      </w:r>
      <w:proofErr w:type="gramStart"/>
      <w:r w:rsidR="00284320">
        <w:t>include</w:t>
      </w:r>
      <w:r w:rsidR="003E13A4">
        <w:t>:</w:t>
      </w:r>
      <w:proofErr w:type="gramEnd"/>
      <w:r w:rsidR="003E13A4">
        <w:t xml:space="preserve"> </w:t>
      </w:r>
      <w:bookmarkStart w:id="0" w:name="_Hlk114644494"/>
      <w:r w:rsidR="008722F9" w:rsidRPr="008722F9">
        <w:t xml:space="preserve">implementation and dissemination/sustainability of programs </w:t>
      </w:r>
      <w:r w:rsidR="00E45C8B">
        <w:t xml:space="preserve">or practices </w:t>
      </w:r>
      <w:r w:rsidR="008722F9" w:rsidRPr="008722F9">
        <w:t>that focus on youth in the family, school, or community context</w:t>
      </w:r>
      <w:r w:rsidR="00E45C8B">
        <w:t>s</w:t>
      </w:r>
      <w:r w:rsidR="003E13A4">
        <w:t>; prevention science methodology</w:t>
      </w:r>
      <w:r w:rsidR="00117520">
        <w:t xml:space="preserve"> from a developmental </w:t>
      </w:r>
      <w:r w:rsidR="000A0A7F">
        <w:t>(</w:t>
      </w:r>
      <w:r w:rsidR="006B7DF9">
        <w:t>including</w:t>
      </w:r>
      <w:r w:rsidR="000A0A7F">
        <w:t xml:space="preserve"> longitudinal</w:t>
      </w:r>
      <w:r w:rsidR="006B7DF9">
        <w:t xml:space="preserve"> youth development research</w:t>
      </w:r>
      <w:r w:rsidR="000A0A7F">
        <w:t xml:space="preserve">) </w:t>
      </w:r>
      <w:r w:rsidR="00117520">
        <w:t>or programmatic perspective; cultural adaptations of prevention programs or practices. We</w:t>
      </w:r>
      <w:r w:rsidR="008722F9" w:rsidRPr="008722F9">
        <w:t xml:space="preserve"> are particularly interested in a candidate with expertise in </w:t>
      </w:r>
      <w:r w:rsidR="008722F9" w:rsidRPr="008722F9">
        <w:lastRenderedPageBreak/>
        <w:t xml:space="preserve">research with marginalized and </w:t>
      </w:r>
      <w:r w:rsidR="00117520">
        <w:t xml:space="preserve">minoritized </w:t>
      </w:r>
      <w:r w:rsidR="008722F9" w:rsidRPr="008722F9">
        <w:t>populations using methodolog</w:t>
      </w:r>
      <w:r w:rsidR="00E45C8B">
        <w:t xml:space="preserve">ies </w:t>
      </w:r>
      <w:r w:rsidR="008722F9" w:rsidRPr="008722F9">
        <w:t xml:space="preserve">that </w:t>
      </w:r>
      <w:r w:rsidR="00E45C8B">
        <w:t>are</w:t>
      </w:r>
      <w:r w:rsidR="008722F9" w:rsidRPr="008722F9">
        <w:t xml:space="preserve"> culturally responsive, community-informed, and equity focused</w:t>
      </w:r>
      <w:bookmarkEnd w:id="0"/>
      <w:r w:rsidR="008722F9" w:rsidRPr="008722F9">
        <w:t>.</w:t>
      </w:r>
      <w:r w:rsidR="008722F9" w:rsidRPr="008722F9" w:rsidDel="008722F9">
        <w:t xml:space="preserve"> </w:t>
      </w:r>
    </w:p>
    <w:p w14:paraId="00926364" w14:textId="0AFBA0E3" w:rsidR="00117520" w:rsidRDefault="00117520">
      <w:pPr>
        <w:ind w:left="715"/>
      </w:pPr>
    </w:p>
    <w:p w14:paraId="05A82F02" w14:textId="77777777" w:rsidR="00117520" w:rsidRDefault="00117520" w:rsidP="00117520">
      <w:pPr>
        <w:ind w:left="715"/>
      </w:pPr>
      <w:r>
        <w:t xml:space="preserve">It is expected that the faculty member will engage in a solid research program, publish in scholarly journals, and seek contract and grant funding to actively support their research. The faculty member will also participate in graduate education by chairing graduate committees, serving on graduate committees, supervising thesis and dissertation research, and presenting and publishing the results with their graduate students.   </w:t>
      </w:r>
    </w:p>
    <w:p w14:paraId="2020257D" w14:textId="77777777" w:rsidR="00117520" w:rsidRDefault="00117520" w:rsidP="00117520">
      <w:pPr>
        <w:spacing w:line="259" w:lineRule="auto"/>
        <w:ind w:left="720" w:firstLine="0"/>
      </w:pPr>
      <w:r>
        <w:t xml:space="preserve"> </w:t>
      </w:r>
    </w:p>
    <w:p w14:paraId="0C4AE403" w14:textId="1B2A57B0" w:rsidR="00117520" w:rsidRDefault="00117520" w:rsidP="00117520">
      <w:pPr>
        <w:ind w:left="715"/>
      </w:pPr>
      <w:r>
        <w:t xml:space="preserve">It is expected that the faculty member will also engage in scholarly activities related to instruction, including </w:t>
      </w:r>
      <w:r w:rsidR="001E09F5">
        <w:t xml:space="preserve">developing and </w:t>
      </w:r>
      <w:r>
        <w:t xml:space="preserve">teaching </w:t>
      </w:r>
      <w:r w:rsidR="001E09F5">
        <w:t>under</w:t>
      </w:r>
      <w:r>
        <w:t>graduate and/or graduate courses, advising and mentoring graduate and/or undergraduate students, participating in curriculum revision and enhancement, seeking funding for their teaching program, supervising graduate and undergraduate research and creative work, publishing teaching-related scholarship, producing learning tools, and engaging in professional development activities related to teaching and advising</w:t>
      </w:r>
      <w:r w:rsidR="001E09F5">
        <w:t xml:space="preserve"> (e.g., engaging in scholarship of teaching and learning, advising student organizations)</w:t>
      </w:r>
      <w:r>
        <w:t>.</w:t>
      </w:r>
      <w:r w:rsidR="00C22C42">
        <w:t xml:space="preserve"> </w:t>
      </w:r>
      <w:r>
        <w:t xml:space="preserve"> Successful candidates must be committed to working with diverse student and community populations and are encouraged to support and participate in the CALS Honors Program, distance education, and international education. </w:t>
      </w:r>
    </w:p>
    <w:p w14:paraId="3019F206" w14:textId="77777777" w:rsidR="00117520" w:rsidRDefault="00117520" w:rsidP="00117520">
      <w:pPr>
        <w:spacing w:line="259" w:lineRule="auto"/>
        <w:ind w:left="720" w:firstLine="0"/>
      </w:pPr>
      <w:r>
        <w:t xml:space="preserve"> </w:t>
      </w:r>
    </w:p>
    <w:p w14:paraId="6E66AD17" w14:textId="77777777" w:rsidR="00117520" w:rsidRDefault="00117520" w:rsidP="00117520">
      <w:pPr>
        <w:ind w:left="715"/>
      </w:pPr>
      <w:r>
        <w:t xml:space="preserve">Because of the IFAS land-grant mission, all faculty are expected to be supportive of and engaged in all three mission areas—Research, Teaching and Extension—regardless of the assignment split specified in the position description. </w:t>
      </w:r>
    </w:p>
    <w:p w14:paraId="4FC972FF" w14:textId="77777777" w:rsidR="00117520" w:rsidRDefault="00117520" w:rsidP="00A04CE9">
      <w:pPr>
        <w:ind w:left="0" w:firstLine="0"/>
      </w:pPr>
    </w:p>
    <w:p w14:paraId="12A918CF" w14:textId="1526D51C" w:rsidR="007D7B8A" w:rsidRDefault="008F7195">
      <w:pPr>
        <w:ind w:left="715"/>
      </w:pPr>
      <w:r>
        <w:t xml:space="preserve">This 9-month tenure-accruing position will be 60% teaching (College of Agricultural and Life Sciences) and 40% research (Florida Agricultural Experiment Station), </w:t>
      </w:r>
      <w:r w:rsidR="00117520">
        <w:t xml:space="preserve">and </w:t>
      </w:r>
      <w:r>
        <w:t>available in the Department of Family, Youth and Community Sciences, Institute of Food and Agricultural Sciences, at the University of Florida</w:t>
      </w:r>
      <w:r w:rsidR="00117520">
        <w:t xml:space="preserve"> starting in August 2023.</w:t>
      </w:r>
      <w:r>
        <w:t xml:space="preserve"> This assignment may change in accordance with the needs of the unit. </w:t>
      </w:r>
      <w:r w:rsidR="00E14959">
        <w:t xml:space="preserve">  </w:t>
      </w:r>
    </w:p>
    <w:p w14:paraId="7C2986B3" w14:textId="77777777" w:rsidR="007D7B8A" w:rsidRDefault="00E14959">
      <w:pPr>
        <w:spacing w:line="259" w:lineRule="auto"/>
        <w:ind w:left="720" w:firstLine="0"/>
      </w:pPr>
      <w:r>
        <w:t xml:space="preserve"> </w:t>
      </w:r>
    </w:p>
    <w:p w14:paraId="35889717" w14:textId="77777777" w:rsidR="00DE548B" w:rsidRDefault="00E14959">
      <w:pPr>
        <w:spacing w:line="259" w:lineRule="auto"/>
        <w:ind w:left="715" w:right="6838"/>
        <w:rPr>
          <w:b/>
        </w:rPr>
      </w:pPr>
      <w:r>
        <w:rPr>
          <w:b/>
          <w:u w:val="single" w:color="000000"/>
        </w:rPr>
        <w:t>Qualifications</w:t>
      </w:r>
      <w:r>
        <w:rPr>
          <w:b/>
        </w:rPr>
        <w:t xml:space="preserve">  </w:t>
      </w:r>
    </w:p>
    <w:p w14:paraId="7AB48F21" w14:textId="61D34248" w:rsidR="007D7B8A" w:rsidRDefault="00E14959">
      <w:pPr>
        <w:spacing w:line="259" w:lineRule="auto"/>
        <w:ind w:left="715" w:right="6838"/>
      </w:pPr>
      <w:r>
        <w:rPr>
          <w:u w:val="single" w:color="000000"/>
        </w:rPr>
        <w:t>Required</w:t>
      </w:r>
      <w:r>
        <w:t xml:space="preserve">: </w:t>
      </w:r>
    </w:p>
    <w:p w14:paraId="60EDDE45" w14:textId="4C330ECB" w:rsidR="00DE548B" w:rsidRDefault="00E14959" w:rsidP="00DE548B">
      <w:r>
        <w:t xml:space="preserve">A doctorate (foreign equivalent acceptable) in Human Development and Family Science or a closely related discipline (e.g., </w:t>
      </w:r>
      <w:r w:rsidR="008F7195">
        <w:t xml:space="preserve">Prevention Science, </w:t>
      </w:r>
      <w:r>
        <w:t>Education, Psychology, Public Health, Social Work, or Sociology); a strong program of research</w:t>
      </w:r>
      <w:r w:rsidR="000A0A7F">
        <w:t xml:space="preserve">; experience applying with evidence or promise in ability to obtain external funding. </w:t>
      </w:r>
      <w:r w:rsidR="00DE548B">
        <w:t xml:space="preserve">Candidates should have demonstrated skills in verbal and written communication, interpersonal relationships, and procurement of extramural funding.  Candidates must be supportive of the mission of the Land-Grant system.  Candidates must also have a commitment to IFAS core values of excellence, diversity, global involvement, and accountability.  </w:t>
      </w:r>
    </w:p>
    <w:p w14:paraId="581B8D49" w14:textId="7EC6F56D" w:rsidR="001E09F5" w:rsidRDefault="00E14959" w:rsidP="00A04CE9">
      <w:pPr>
        <w:ind w:left="715"/>
        <w:rPr>
          <w:u w:val="single" w:color="000000"/>
        </w:rPr>
      </w:pPr>
      <w:r>
        <w:t xml:space="preserve"> </w:t>
      </w:r>
      <w:r w:rsidR="001E09F5">
        <w:rPr>
          <w:u w:val="single" w:color="000000"/>
        </w:rPr>
        <w:br w:type="page"/>
      </w:r>
    </w:p>
    <w:p w14:paraId="0208A49A" w14:textId="5C5C32F3" w:rsidR="007D7B8A" w:rsidRDefault="00E14959">
      <w:pPr>
        <w:spacing w:line="259" w:lineRule="auto"/>
        <w:ind w:left="720" w:firstLine="0"/>
      </w:pPr>
      <w:r>
        <w:rPr>
          <w:u w:val="single" w:color="000000"/>
        </w:rPr>
        <w:lastRenderedPageBreak/>
        <w:t>Preferred</w:t>
      </w:r>
      <w:r>
        <w:t xml:space="preserve">: </w:t>
      </w:r>
    </w:p>
    <w:p w14:paraId="209F6B02" w14:textId="5DCB5A9C" w:rsidR="007D7B8A" w:rsidRDefault="00E14959">
      <w:pPr>
        <w:ind w:left="715"/>
      </w:pPr>
      <w:r>
        <w:t>Postdoctoral experience; teaching experience</w:t>
      </w:r>
      <w:r w:rsidR="00DF3653">
        <w:t xml:space="preserve"> in academia</w:t>
      </w:r>
      <w:r>
        <w:t xml:space="preserve">; record of extramural funding; experience </w:t>
      </w:r>
      <w:r w:rsidR="00AC08E6">
        <w:t xml:space="preserve">leading community-university partnerships; experience </w:t>
      </w:r>
      <w:r>
        <w:t xml:space="preserve">developing, implementing, and evaluating prevention </w:t>
      </w:r>
      <w:r w:rsidR="00AC08E6">
        <w:t xml:space="preserve">and/or community-based </w:t>
      </w:r>
      <w:r>
        <w:t xml:space="preserve">programs   </w:t>
      </w:r>
    </w:p>
    <w:p w14:paraId="1ED8F503" w14:textId="77777777" w:rsidR="007D7B8A" w:rsidRDefault="00E14959">
      <w:pPr>
        <w:spacing w:line="259" w:lineRule="auto"/>
        <w:ind w:left="1440" w:firstLine="0"/>
      </w:pPr>
      <w:r>
        <w:t xml:space="preserve"> </w:t>
      </w:r>
    </w:p>
    <w:p w14:paraId="043C30F0" w14:textId="31C26078" w:rsidR="007D7B8A" w:rsidRDefault="00E14959">
      <w:pPr>
        <w:spacing w:line="259" w:lineRule="auto"/>
        <w:ind w:left="715"/>
      </w:pPr>
      <w:r>
        <w:rPr>
          <w:b/>
          <w:u w:val="single" w:color="000000"/>
        </w:rPr>
        <w:t>Background Information</w:t>
      </w:r>
      <w:r>
        <w:rPr>
          <w:b/>
        </w:rPr>
        <w:t>:</w:t>
      </w:r>
      <w:r>
        <w:t xml:space="preserve">  </w:t>
      </w:r>
    </w:p>
    <w:p w14:paraId="0526CFA1" w14:textId="77777777" w:rsidR="00612DFA" w:rsidRDefault="00E14959">
      <w:pPr>
        <w:ind w:left="715"/>
      </w:pPr>
      <w:r>
        <w:t>The</w:t>
      </w:r>
      <w:r>
        <w:rPr>
          <w:i/>
        </w:rPr>
        <w:t xml:space="preserve"> </w:t>
      </w:r>
      <w:hyperlink r:id="rId11" w:history="1">
        <w:r w:rsidRPr="00612DFA">
          <w:rPr>
            <w:rStyle w:val="Hyperlink"/>
          </w:rPr>
          <w:t>Department of Family, Youth and Community Sciences</w:t>
        </w:r>
      </w:hyperlink>
      <w:r>
        <w:t xml:space="preserve"> is an academic unit in the College of Agricultural and Life Sciences, in the Institute of Food and Agricultural Sciences (IFAS) at the University of Florida and has diverse teaching, research and Extension education programs.</w:t>
      </w:r>
    </w:p>
    <w:p w14:paraId="14C525A9" w14:textId="77777777" w:rsidR="00612DFA" w:rsidRDefault="00612DFA">
      <w:pPr>
        <w:ind w:left="715"/>
      </w:pPr>
    </w:p>
    <w:p w14:paraId="6A4282A8" w14:textId="127263A9" w:rsidR="00612DFA" w:rsidRDefault="00612DFA" w:rsidP="00612DFA">
      <w:pPr>
        <w:ind w:left="715"/>
      </w:pPr>
      <w:r>
        <w:t>The Department of Family, Youth and Community Sciences</w:t>
      </w:r>
      <w:r w:rsidR="002A0FD7">
        <w:t xml:space="preserve"> mission is to enhance lifelong learning and the personal, social, </w:t>
      </w:r>
      <w:proofErr w:type="gramStart"/>
      <w:r w:rsidR="002A0FD7">
        <w:t>economic</w:t>
      </w:r>
      <w:proofErr w:type="gramEnd"/>
      <w:r w:rsidR="002A0FD7">
        <w:t xml:space="preserve"> and environmental well-being of diverse individuals, families and communities through state-of-the-art Extension, research, and teaching programs.  </w:t>
      </w:r>
      <w:r>
        <w:t xml:space="preserve"> </w:t>
      </w:r>
      <w:r w:rsidR="002A0FD7">
        <w:t xml:space="preserve">The department is interdisciplinary and includes 31 faculty from psychology, human development </w:t>
      </w:r>
      <w:r w:rsidR="006B7DF9">
        <w:t xml:space="preserve">and </w:t>
      </w:r>
      <w:r w:rsidR="002A0FD7">
        <w:t xml:space="preserve">family science, nonprofit management, </w:t>
      </w:r>
      <w:r w:rsidR="006B7DF9">
        <w:t xml:space="preserve">public administration, </w:t>
      </w:r>
      <w:r w:rsidR="002A0FD7">
        <w:t>social work, economics, and agriculture</w:t>
      </w:r>
      <w:r w:rsidR="003E13A4">
        <w:t>, among others, and is</w:t>
      </w:r>
      <w:r w:rsidR="002A0FD7">
        <w:t xml:space="preserve"> </w:t>
      </w:r>
      <w:r>
        <w:t xml:space="preserve">located on the Gainesville campus. </w:t>
      </w:r>
      <w:r w:rsidR="002A0FD7">
        <w:t xml:space="preserve">The department encompasses programs in youth and human development; family science; consumer economics and resource management; community development and sustainability; and human nutrition, food safety, and health. </w:t>
      </w:r>
      <w:r>
        <w:t>The FYCS academic program has an undergraduate major with enrollment of over 200 students. The department has a total of 125 graduate students enrolled in the master’s degree program and the Ph.D. program in Youth Development and Family Sciences. The unit’s sponsored research and Extension activities have generated in excess of $20 million over the course of the past year. The department engages in collaborative working relationships with Florida A&amp;M University, Florida State University, and other public and private universities</w:t>
      </w:r>
      <w:r w:rsidR="002A0FD7">
        <w:t xml:space="preserve"> both in and out of state</w:t>
      </w:r>
      <w:r>
        <w:t xml:space="preserve">. </w:t>
      </w:r>
    </w:p>
    <w:p w14:paraId="6F0972C7" w14:textId="77777777" w:rsidR="007D7B8A" w:rsidRDefault="00E14959">
      <w:pPr>
        <w:spacing w:line="259" w:lineRule="auto"/>
        <w:ind w:left="720" w:firstLine="0"/>
      </w:pPr>
      <w:r>
        <w:rPr>
          <w:b/>
          <w:i/>
        </w:rPr>
        <w:t xml:space="preserve"> </w:t>
      </w:r>
    </w:p>
    <w:p w14:paraId="7845FEF6" w14:textId="77777777" w:rsidR="00612DFA" w:rsidRPr="003C36AB" w:rsidRDefault="00612DFA" w:rsidP="00612DFA">
      <w:r>
        <w:t xml:space="preserve">The </w:t>
      </w:r>
      <w:hyperlink r:id="rId12" w:history="1">
        <w:r w:rsidRPr="00852592">
          <w:rPr>
            <w:rStyle w:val="Hyperlink"/>
          </w:rPr>
          <w:t>University of Florida</w:t>
        </w:r>
      </w:hyperlink>
      <w:r>
        <w:t xml:space="preserve"> is a Land-Grant, Sea-Grant, and Space-Grant institution, encompassing virtually all academic and professional disciplines, with an enrollment of more than 56,000 students.  UF is a member of The Association of American Universities.  The </w:t>
      </w:r>
      <w:hyperlink r:id="rId13" w:history="1">
        <w:r w:rsidRPr="00852592">
          <w:rPr>
            <w:rStyle w:val="Hyperlink"/>
          </w:rPr>
          <w:t>Institute of Food and Agricultural Sciences</w:t>
        </w:r>
      </w:hyperlink>
      <w:r>
        <w:t xml:space="preserve"> includes the </w:t>
      </w:r>
      <w:hyperlink r:id="rId14" w:history="1">
        <w:r w:rsidRPr="00852592">
          <w:rPr>
            <w:rStyle w:val="Hyperlink"/>
          </w:rPr>
          <w:t>College of Agricultural and Life Sciences</w:t>
        </w:r>
      </w:hyperlink>
      <w:r>
        <w:t xml:space="preserve">, the </w:t>
      </w:r>
      <w:hyperlink r:id="rId15" w:history="1">
        <w:r w:rsidRPr="00852592">
          <w:rPr>
            <w:rStyle w:val="Hyperlink"/>
          </w:rPr>
          <w:t>Florida Agricultural Experiment Station</w:t>
        </w:r>
      </w:hyperlink>
      <w:r>
        <w:t xml:space="preserve">, the </w:t>
      </w:r>
      <w:hyperlink r:id="rId16" w:history="1">
        <w:r w:rsidRPr="00852592">
          <w:rPr>
            <w:rStyle w:val="Hyperlink"/>
          </w:rPr>
          <w:t>Florida Cooperative Extension Service</w:t>
        </w:r>
      </w:hyperlink>
      <w:r>
        <w:t xml:space="preserve">, the </w:t>
      </w:r>
      <w:hyperlink r:id="rId17" w:history="1">
        <w:r w:rsidRPr="00852592">
          <w:rPr>
            <w:rStyle w:val="Hyperlink"/>
          </w:rPr>
          <w:t>College of Veterinary Medicine</w:t>
        </w:r>
      </w:hyperlink>
      <w:r>
        <w:t xml:space="preserve">, the </w:t>
      </w:r>
      <w:hyperlink r:id="rId18" w:history="1">
        <w:r w:rsidRPr="00852592">
          <w:rPr>
            <w:rStyle w:val="Hyperlink"/>
          </w:rPr>
          <w:t>Florida Sea Grant</w:t>
        </w:r>
      </w:hyperlink>
      <w:r>
        <w:t xml:space="preserve"> program, and encompasses 16 on-campus academic departments and schools, 12 Research and Educational Centers (REC) located throughout the state, 6 Research sites/demonstration units administered by RECs or academic departments, and Florida Cooperative Extension Service offices in all 67 counties (counties operate and maintain). </w:t>
      </w:r>
      <w:r w:rsidRPr="003C36AB">
        <w:t xml:space="preserve">The School of Natural Resources and Environment is an interdisciplinary unit housed in IFAS and managed by several colleges on campus. </w:t>
      </w:r>
      <w:r>
        <w:t xml:space="preserve"> </w:t>
      </w:r>
      <w:r w:rsidRPr="001E3C63">
        <w:t>UF/IFAS employs nearly 4,500 people, which includes approximately 990 salaried faculty and 1,400 permanent support personnel located in Gainesville and throughout the state.</w:t>
      </w:r>
      <w:r>
        <w:t xml:space="preserve"> </w:t>
      </w:r>
      <w:r w:rsidRPr="003C36AB">
        <w:t xml:space="preserve">IFAS, one of the nation’s largest agricultural and natural resources research and education organizations, is administered by a Vice President and four deans: the Dean of the College of Agricultural and Life Sciences, the Dean for Extension and Director of the Florida Cooperative Extension Service, the Dean for Research and Director of the Florida Agricultural Experiment Station, and </w:t>
      </w:r>
      <w:r w:rsidRPr="003C36AB">
        <w:lastRenderedPageBreak/>
        <w:t>the Dean for the College of Veterinary Medicine</w:t>
      </w:r>
      <w:r>
        <w:t>.</w:t>
      </w:r>
      <w:r w:rsidRPr="003C36AB">
        <w:t xml:space="preserve"> </w:t>
      </w:r>
      <w:r>
        <w:t xml:space="preserve"> </w:t>
      </w:r>
      <w:r w:rsidRPr="003C36AB">
        <w:t xml:space="preserve">UF/IFAS also engages in cooperative work with Florida A&amp;M University in Tallahassee. </w:t>
      </w:r>
    </w:p>
    <w:p w14:paraId="7FC1FD01" w14:textId="77777777" w:rsidR="00612DFA" w:rsidRDefault="00612DFA">
      <w:pPr>
        <w:spacing w:line="259" w:lineRule="auto"/>
        <w:ind w:left="720" w:firstLine="0"/>
      </w:pPr>
    </w:p>
    <w:p w14:paraId="71A532F7" w14:textId="77777777" w:rsidR="007D7B8A" w:rsidRDefault="00E14959">
      <w:pPr>
        <w:pStyle w:val="Heading1"/>
        <w:ind w:left="715"/>
      </w:pPr>
      <w:r>
        <w:t>Employment Conditions</w:t>
      </w:r>
      <w:r>
        <w:rPr>
          <w:u w:val="none"/>
        </w:rPr>
        <w:t xml:space="preserve"> </w:t>
      </w:r>
    </w:p>
    <w:p w14:paraId="69A11581" w14:textId="76DC8445" w:rsidR="007D7B8A" w:rsidRDefault="00E14959">
      <w:pPr>
        <w:ind w:left="715"/>
      </w:pPr>
      <w:r>
        <w:t xml:space="preserve">This position is available </w:t>
      </w:r>
      <w:r w:rsidR="00F3206D">
        <w:t>August</w:t>
      </w:r>
      <w:r>
        <w:t xml:space="preserve"> 1</w:t>
      </w:r>
      <w:r w:rsidR="00F3206D">
        <w:t>5</w:t>
      </w:r>
      <w:r>
        <w:t>, 20</w:t>
      </w:r>
      <w:r w:rsidR="00F3206D">
        <w:t>2</w:t>
      </w:r>
      <w:r w:rsidR="000B6DCD">
        <w:t>3</w:t>
      </w:r>
      <w:r>
        <w:t xml:space="preserve">.  Compensation is commensurate with the education, experience, and qualifications of the selected applicant. </w:t>
      </w:r>
    </w:p>
    <w:p w14:paraId="63C2E5BB" w14:textId="77777777" w:rsidR="007D7B8A" w:rsidRDefault="00E14959">
      <w:pPr>
        <w:spacing w:line="259" w:lineRule="auto"/>
        <w:ind w:left="720" w:firstLine="0"/>
      </w:pPr>
      <w:r>
        <w:rPr>
          <w:b/>
        </w:rPr>
        <w:t xml:space="preserve"> </w:t>
      </w:r>
    </w:p>
    <w:p w14:paraId="46F4180A" w14:textId="77777777" w:rsidR="007D7B8A" w:rsidRDefault="00E14959">
      <w:pPr>
        <w:pStyle w:val="Heading1"/>
        <w:ind w:left="715"/>
      </w:pPr>
      <w:r>
        <w:t>Nominations</w:t>
      </w:r>
      <w:r>
        <w:rPr>
          <w:u w:val="none"/>
        </w:rPr>
        <w:t xml:space="preserve">  </w:t>
      </w:r>
    </w:p>
    <w:p w14:paraId="1D4B210F" w14:textId="77777777" w:rsidR="007D7B8A" w:rsidRDefault="00E14959">
      <w:pPr>
        <w:ind w:left="715"/>
      </w:pPr>
      <w:r>
        <w:t xml:space="preserve">Nominations are welcome.  Nominations need to include the complete name and address of the nominee. This information should be sent to: </w:t>
      </w:r>
    </w:p>
    <w:p w14:paraId="664005BA" w14:textId="77777777" w:rsidR="007D7B8A" w:rsidRDefault="00E14959">
      <w:pPr>
        <w:spacing w:line="259" w:lineRule="auto"/>
        <w:ind w:left="720" w:firstLine="0"/>
      </w:pPr>
      <w:r>
        <w:t xml:space="preserve"> </w:t>
      </w:r>
    </w:p>
    <w:p w14:paraId="0B4D6DA0" w14:textId="1E2DFB91" w:rsidR="00C95A02" w:rsidRDefault="00E14959">
      <w:pPr>
        <w:ind w:left="715" w:right="5249"/>
      </w:pPr>
      <w:r>
        <w:t xml:space="preserve">Please refer to Requisition # </w:t>
      </w:r>
      <w:r w:rsidR="00097F8E" w:rsidRPr="00097F8E">
        <w:rPr>
          <w:bCs/>
        </w:rPr>
        <w:t>524177</w:t>
      </w:r>
    </w:p>
    <w:p w14:paraId="4128A323" w14:textId="1171867D" w:rsidR="007D7B8A" w:rsidRDefault="00C95A02">
      <w:pPr>
        <w:ind w:left="715" w:right="5249"/>
      </w:pPr>
      <w:r>
        <w:t>Kate Fogarty</w:t>
      </w:r>
      <w:r w:rsidR="00E14959">
        <w:t xml:space="preserve"> </w:t>
      </w:r>
    </w:p>
    <w:p w14:paraId="4F074523" w14:textId="77777777" w:rsidR="007D7B8A" w:rsidRDefault="00E14959">
      <w:pPr>
        <w:ind w:left="715"/>
      </w:pPr>
      <w:r>
        <w:t xml:space="preserve">Chair, Search and Screen Committee </w:t>
      </w:r>
    </w:p>
    <w:p w14:paraId="545918B4" w14:textId="77777777" w:rsidR="004D26A1" w:rsidRDefault="00E14959">
      <w:pPr>
        <w:ind w:left="715"/>
      </w:pPr>
      <w:r>
        <w:t>University of Florida</w:t>
      </w:r>
      <w:r w:rsidR="004D26A1">
        <w:t xml:space="preserve"> </w:t>
      </w:r>
    </w:p>
    <w:p w14:paraId="09045A91" w14:textId="7FED7972" w:rsidR="007D7B8A" w:rsidRDefault="00E14959">
      <w:pPr>
        <w:ind w:left="715"/>
      </w:pPr>
      <w:r>
        <w:t xml:space="preserve">Department of Family, Youth and Community Sciences </w:t>
      </w:r>
    </w:p>
    <w:p w14:paraId="05B97357" w14:textId="247BC502" w:rsidR="007D7B8A" w:rsidRDefault="00E14959" w:rsidP="004D26A1">
      <w:pPr>
        <w:ind w:left="715"/>
      </w:pPr>
      <w:r>
        <w:t>3014 McCarty Hall D</w:t>
      </w:r>
      <w:r w:rsidR="004D26A1">
        <w:t xml:space="preserve">, </w:t>
      </w:r>
      <w:r>
        <w:t xml:space="preserve">PO Box 110310 </w:t>
      </w:r>
    </w:p>
    <w:p w14:paraId="368A8F79" w14:textId="77777777" w:rsidR="007D7B8A" w:rsidRDefault="00E14959">
      <w:pPr>
        <w:ind w:left="715"/>
      </w:pPr>
      <w:r>
        <w:t xml:space="preserve">Gainesville, FL 32611-0310 </w:t>
      </w:r>
    </w:p>
    <w:p w14:paraId="7CAED7A4" w14:textId="77777777" w:rsidR="007D7B8A" w:rsidRDefault="00E14959">
      <w:pPr>
        <w:spacing w:line="259" w:lineRule="auto"/>
        <w:ind w:left="720" w:firstLine="0"/>
      </w:pPr>
      <w:r>
        <w:t xml:space="preserve"> </w:t>
      </w:r>
    </w:p>
    <w:p w14:paraId="5A93A1BE" w14:textId="3D765A62" w:rsidR="007D7B8A" w:rsidRDefault="00E14959">
      <w:pPr>
        <w:tabs>
          <w:tab w:val="center" w:pos="1259"/>
          <w:tab w:val="center" w:pos="2160"/>
          <w:tab w:val="center" w:pos="2880"/>
          <w:tab w:val="center" w:pos="4279"/>
        </w:tabs>
        <w:ind w:left="0" w:firstLine="0"/>
      </w:pPr>
      <w:r>
        <w:rPr>
          <w:rFonts w:ascii="Calibri" w:eastAsia="Calibri" w:hAnsi="Calibri" w:cs="Calibri"/>
          <w:sz w:val="22"/>
        </w:rPr>
        <w:tab/>
      </w:r>
      <w:r>
        <w:t xml:space="preserve">Telephone: </w:t>
      </w:r>
      <w:r>
        <w:tab/>
        <w:t xml:space="preserve"> </w:t>
      </w:r>
      <w:r>
        <w:tab/>
        <w:t xml:space="preserve"> </w:t>
      </w:r>
      <w:r>
        <w:tab/>
        <w:t>352-273-352</w:t>
      </w:r>
      <w:r w:rsidR="004D26A1">
        <w:t>7</w:t>
      </w:r>
    </w:p>
    <w:p w14:paraId="6CB0D6E7" w14:textId="61317A4C" w:rsidR="007D7B8A" w:rsidRDefault="00E14959">
      <w:pPr>
        <w:tabs>
          <w:tab w:val="center" w:pos="1502"/>
          <w:tab w:val="center" w:pos="2880"/>
          <w:tab w:val="center" w:pos="4433"/>
        </w:tabs>
        <w:ind w:left="0" w:firstLine="0"/>
      </w:pPr>
      <w:r>
        <w:rPr>
          <w:rFonts w:ascii="Calibri" w:eastAsia="Calibri" w:hAnsi="Calibri" w:cs="Calibri"/>
          <w:sz w:val="22"/>
        </w:rPr>
        <w:tab/>
      </w:r>
      <w:r>
        <w:t xml:space="preserve">Electronic Mail: </w:t>
      </w:r>
      <w:r>
        <w:tab/>
        <w:t xml:space="preserve"> </w:t>
      </w:r>
      <w:r w:rsidR="00097F8E">
        <w:t xml:space="preserve">           </w:t>
      </w:r>
      <w:r w:rsidR="00097F8E">
        <w:tab/>
      </w:r>
      <w:hyperlink r:id="rId19" w:history="1">
        <w:r w:rsidR="00097F8E" w:rsidRPr="00F519DC">
          <w:rPr>
            <w:rStyle w:val="Hyperlink"/>
          </w:rPr>
          <w:t>kfogarty@ufl.edu</w:t>
        </w:r>
      </w:hyperlink>
      <w:r w:rsidR="00097F8E">
        <w:t xml:space="preserve"> </w:t>
      </w:r>
      <w:r>
        <w:t xml:space="preserve">  </w:t>
      </w:r>
    </w:p>
    <w:p w14:paraId="573156CD" w14:textId="77777777" w:rsidR="007D7B8A" w:rsidRDefault="00E14959">
      <w:pPr>
        <w:spacing w:line="259" w:lineRule="auto"/>
        <w:ind w:left="720" w:firstLine="0"/>
      </w:pPr>
      <w:r>
        <w:t xml:space="preserve"> </w:t>
      </w:r>
    </w:p>
    <w:p w14:paraId="1ADBCC1E" w14:textId="77777777" w:rsidR="007D7B8A" w:rsidRDefault="00E14959">
      <w:pPr>
        <w:pStyle w:val="Heading1"/>
        <w:ind w:left="715"/>
      </w:pPr>
      <w:r>
        <w:t>Application Information</w:t>
      </w:r>
      <w:r>
        <w:rPr>
          <w:u w:val="none"/>
        </w:rPr>
        <w:t xml:space="preserve"> </w:t>
      </w:r>
    </w:p>
    <w:p w14:paraId="7D3265F9" w14:textId="28CFA2E5" w:rsidR="007D7B8A" w:rsidRDefault="00E14959">
      <w:pPr>
        <w:ind w:left="1440" w:hanging="360"/>
      </w:pPr>
      <w:r>
        <w:rPr>
          <w:rFonts w:ascii="Wingdings" w:eastAsia="Wingdings" w:hAnsi="Wingdings" w:cs="Wingdings"/>
        </w:rPr>
        <w:t></w:t>
      </w:r>
      <w:r>
        <w:rPr>
          <w:rFonts w:ascii="Arial" w:eastAsia="Arial" w:hAnsi="Arial" w:cs="Arial"/>
        </w:rPr>
        <w:t xml:space="preserve"> </w:t>
      </w:r>
      <w:r>
        <w:t xml:space="preserve">Individuals wishing to apply should go online to </w:t>
      </w:r>
      <w:hyperlink r:id="rId20" w:history="1">
        <w:r w:rsidR="00097F8E" w:rsidRPr="00097F8E">
          <w:rPr>
            <w:rStyle w:val="Hyperlink"/>
          </w:rPr>
          <w:t>Careers at UF</w:t>
        </w:r>
      </w:hyperlink>
      <w:hyperlink r:id="rId21">
        <w:r>
          <w:t xml:space="preserve"> </w:t>
        </w:r>
      </w:hyperlink>
      <w:r>
        <w:t xml:space="preserve">and submit: </w:t>
      </w:r>
    </w:p>
    <w:p w14:paraId="4A6BCAA7" w14:textId="77777777" w:rsidR="00F95CBB" w:rsidRDefault="00F95CBB" w:rsidP="00097F8E">
      <w:pPr>
        <w:numPr>
          <w:ilvl w:val="0"/>
          <w:numId w:val="1"/>
        </w:numPr>
        <w:spacing w:line="240" w:lineRule="auto"/>
        <w:ind w:hanging="360"/>
        <w:rPr>
          <w:color w:val="auto"/>
          <w:sz w:val="22"/>
        </w:rPr>
      </w:pPr>
      <w:r>
        <w:rPr>
          <w:rFonts w:ascii="TimesNewRomanPSMT" w:hAnsi="TimesNewRomanPSMT"/>
        </w:rPr>
        <w:t>Brief cover letter that states the applicant’s interest in the position, qualifications relative to the credentials listed above, and how their scholarship is related to research in prevention science with adolescents, emerging adults, and communities</w:t>
      </w:r>
    </w:p>
    <w:p w14:paraId="3D6D5338" w14:textId="77777777" w:rsidR="007D7B8A" w:rsidRDefault="00E14959" w:rsidP="00097F8E">
      <w:pPr>
        <w:numPr>
          <w:ilvl w:val="0"/>
          <w:numId w:val="1"/>
        </w:numPr>
        <w:spacing w:line="240" w:lineRule="auto"/>
        <w:ind w:hanging="360"/>
      </w:pPr>
      <w:r>
        <w:t xml:space="preserve">Curriculum vitae </w:t>
      </w:r>
    </w:p>
    <w:p w14:paraId="523C0548" w14:textId="77777777" w:rsidR="00F95CBB" w:rsidRDefault="00F95CBB" w:rsidP="00097F8E">
      <w:pPr>
        <w:numPr>
          <w:ilvl w:val="0"/>
          <w:numId w:val="1"/>
        </w:numPr>
        <w:spacing w:line="240" w:lineRule="auto"/>
        <w:ind w:hanging="360"/>
      </w:pPr>
      <w:r>
        <w:t>Statement of research interests and plans for future research productivity</w:t>
      </w:r>
    </w:p>
    <w:p w14:paraId="63A36E06" w14:textId="77777777" w:rsidR="00F95CBB" w:rsidRDefault="00F95CBB" w:rsidP="00097F8E">
      <w:pPr>
        <w:numPr>
          <w:ilvl w:val="0"/>
          <w:numId w:val="1"/>
        </w:numPr>
        <w:spacing w:line="240" w:lineRule="auto"/>
        <w:ind w:hanging="360"/>
      </w:pPr>
      <w:r>
        <w:t>Statement of teaching experience, interests, and philosophy</w:t>
      </w:r>
    </w:p>
    <w:p w14:paraId="0FC0D857" w14:textId="77777777" w:rsidR="00F95CBB" w:rsidRDefault="00F95CBB" w:rsidP="00097F8E">
      <w:pPr>
        <w:numPr>
          <w:ilvl w:val="0"/>
          <w:numId w:val="1"/>
        </w:numPr>
        <w:spacing w:line="240" w:lineRule="auto"/>
        <w:ind w:hanging="360"/>
      </w:pPr>
      <w:r>
        <w:t>Statement on how the candidate will enhance the diversity and inclusivity of our academic community through research, teaching, and service</w:t>
      </w:r>
    </w:p>
    <w:p w14:paraId="74383441" w14:textId="67CC3110" w:rsidR="00F95CBB" w:rsidRDefault="00997701" w:rsidP="00097F8E">
      <w:pPr>
        <w:numPr>
          <w:ilvl w:val="0"/>
          <w:numId w:val="1"/>
        </w:numPr>
        <w:spacing w:line="240" w:lineRule="auto"/>
        <w:ind w:hanging="360"/>
      </w:pPr>
      <w:r>
        <w:t>Names of t</w:t>
      </w:r>
      <w:r w:rsidR="00F95CBB">
        <w:t>hree</w:t>
      </w:r>
      <w:r>
        <w:t xml:space="preserve"> individuals who can be contacted for recommendations. Letters are required for candidates who receive an interview.</w:t>
      </w:r>
      <w:r w:rsidR="00F95CBB">
        <w:t xml:space="preserve"> </w:t>
      </w:r>
    </w:p>
    <w:p w14:paraId="5C916A8E" w14:textId="6CBF1CE8" w:rsidR="00F95CBB" w:rsidRDefault="00E14959" w:rsidP="00097F8E">
      <w:pPr>
        <w:numPr>
          <w:ilvl w:val="0"/>
          <w:numId w:val="1"/>
        </w:numPr>
        <w:spacing w:line="240" w:lineRule="auto"/>
        <w:ind w:hanging="360"/>
      </w:pPr>
      <w:r>
        <w:t xml:space="preserve">Unofficial transcripts </w:t>
      </w:r>
    </w:p>
    <w:p w14:paraId="7673F7A4" w14:textId="77777777" w:rsidR="007D7B8A" w:rsidRDefault="00E14959">
      <w:pPr>
        <w:spacing w:line="259" w:lineRule="auto"/>
        <w:ind w:left="1800" w:firstLine="0"/>
      </w:pPr>
      <w:r>
        <w:t xml:space="preserve"> </w:t>
      </w:r>
    </w:p>
    <w:p w14:paraId="463C17F0" w14:textId="77777777" w:rsidR="00612DFA" w:rsidRDefault="00612DFA" w:rsidP="00612DFA">
      <w:pPr>
        <w:rPr>
          <w:iCs/>
        </w:rPr>
      </w:pPr>
      <w:r>
        <w:rPr>
          <w:iCs/>
        </w:rPr>
        <w:t xml:space="preserve">Selected candidate will be required to provide an official transcript to the hiring department upon hire. A transcript will not be considered “official” if a designation of “Issued to Student” is visible.  Degrees earned from an education institution outside of the United States are required to be evaluated by a professional credentialing service provider approved by </w:t>
      </w:r>
      <w:hyperlink r:id="rId22" w:history="1">
        <w:r w:rsidRPr="000B7E32">
          <w:rPr>
            <w:rStyle w:val="Hyperlink"/>
            <w:iCs/>
          </w:rPr>
          <w:t>National Association of Credential Evaluation Services (NACES)</w:t>
        </w:r>
      </w:hyperlink>
      <w:r>
        <w:rPr>
          <w:iCs/>
        </w:rPr>
        <w:t>.</w:t>
      </w:r>
    </w:p>
    <w:p w14:paraId="0A6F3F23" w14:textId="77777777" w:rsidR="00612DFA" w:rsidRDefault="00612DFA" w:rsidP="00612DFA"/>
    <w:p w14:paraId="68D5D93C" w14:textId="77777777" w:rsidR="00612DFA" w:rsidRDefault="00612DFA" w:rsidP="00612DFA">
      <w:pPr>
        <w:rPr>
          <w:sz w:val="22"/>
        </w:rPr>
      </w:pPr>
      <w:r>
        <w:lastRenderedPageBreak/>
        <w:t>Hiring is contingent upon eligibility to work in the US. The University of Florida is a public institution and subject to all requirements under Florida Sunshine and Public Record laws.</w:t>
      </w:r>
    </w:p>
    <w:p w14:paraId="6EFBC37D" w14:textId="77777777" w:rsidR="00612DFA" w:rsidRDefault="00612DFA" w:rsidP="00612DFA">
      <w:pPr>
        <w:rPr>
          <w:i/>
          <w:iCs/>
        </w:rPr>
      </w:pPr>
    </w:p>
    <w:p w14:paraId="4B877371" w14:textId="77777777" w:rsidR="00612DFA" w:rsidRPr="00385B89" w:rsidRDefault="00612DFA" w:rsidP="00612DFA">
      <w:bookmarkStart w:id="1" w:name="_Hlk532564781"/>
      <w:r w:rsidRPr="005E6EF9">
        <w:rPr>
          <w:iCs/>
        </w:rPr>
        <w:t xml:space="preserve">The </w:t>
      </w:r>
      <w:hyperlink r:id="rId23" w:history="1">
        <w:r w:rsidRPr="005E6EF9">
          <w:rPr>
            <w:rStyle w:val="Hyperlink"/>
            <w:iCs/>
          </w:rPr>
          <w:t>University of Florida</w:t>
        </w:r>
      </w:hyperlink>
      <w:r w:rsidRPr="005E6EF9">
        <w:rPr>
          <w:iCs/>
        </w:rPr>
        <w:t xml:space="preserve"> is an Equal Opportunity Institution dedicated to building a broadly diverse and inclusive faculty and staff.</w:t>
      </w:r>
      <w:r w:rsidRPr="005E6EF9">
        <w:t xml:space="preserve"> The University and greater Gainesville community enjoy a diversity of cultural events, restaurants, year-round outdoor recreational activities, and social opportunities</w:t>
      </w:r>
      <w:r>
        <w:t>.</w:t>
      </w:r>
      <w:bookmarkEnd w:id="1"/>
    </w:p>
    <w:p w14:paraId="65C8B509" w14:textId="4B6D96B9" w:rsidR="007D7B8A" w:rsidRDefault="007D7B8A" w:rsidP="00612DFA">
      <w:pPr>
        <w:ind w:left="715"/>
      </w:pPr>
    </w:p>
    <w:sectPr w:rsidR="007D7B8A">
      <w:headerReference w:type="even" r:id="rId24"/>
      <w:footerReference w:type="even" r:id="rId25"/>
      <w:footerReference w:type="default" r:id="rId26"/>
      <w:headerReference w:type="first" r:id="rId27"/>
      <w:footerReference w:type="first" r:id="rId28"/>
      <w:pgSz w:w="12240" w:h="15840"/>
      <w:pgMar w:top="1409" w:right="1457" w:bottom="1955" w:left="720" w:header="249"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4123" w14:textId="77777777" w:rsidR="00D465AE" w:rsidRDefault="00D465AE">
      <w:pPr>
        <w:spacing w:line="240" w:lineRule="auto"/>
      </w:pPr>
      <w:r>
        <w:separator/>
      </w:r>
    </w:p>
  </w:endnote>
  <w:endnote w:type="continuationSeparator" w:id="0">
    <w:p w14:paraId="141D4A0F" w14:textId="77777777" w:rsidR="00D465AE" w:rsidRDefault="00D46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FA4F" w14:textId="77777777" w:rsidR="007D7B8A" w:rsidRDefault="00E14959">
    <w:pPr>
      <w:spacing w:line="259" w:lineRule="auto"/>
      <w:ind w:left="701" w:firstLine="0"/>
    </w:pPr>
    <w:r>
      <w:rPr>
        <w:rFonts w:ascii="Malgun Gothic" w:eastAsia="Malgun Gothic" w:hAnsi="Malgun Gothic" w:cs="Malgun Gothic"/>
        <w:sz w:val="25"/>
      </w:rPr>
      <w:t xml:space="preserve">The Foundation for The Gator Nation </w:t>
    </w:r>
  </w:p>
  <w:p w14:paraId="1175ACCD" w14:textId="77777777" w:rsidR="007D7B8A" w:rsidRDefault="00E14959">
    <w:pPr>
      <w:spacing w:after="80" w:line="259" w:lineRule="auto"/>
      <w:ind w:left="720" w:firstLine="0"/>
    </w:pPr>
    <w:r>
      <w:rPr>
        <w:rFonts w:ascii="Book Antiqua" w:eastAsia="Book Antiqua" w:hAnsi="Book Antiqua" w:cs="Book Antiqua"/>
        <w:sz w:val="14"/>
      </w:rPr>
      <w:t xml:space="preserve">An Equal Opportunity Institution </w:t>
    </w:r>
  </w:p>
  <w:p w14:paraId="6A72F0F0" w14:textId="77777777" w:rsidR="007D7B8A" w:rsidRDefault="00E14959">
    <w:pPr>
      <w:spacing w:line="259" w:lineRule="auto"/>
      <w:ind w:left="720" w:firstLine="0"/>
    </w:pPr>
    <w:r>
      <w:rPr>
        <w:rFonts w:ascii="Book Antiqua" w:eastAsia="Book Antiqua" w:hAnsi="Book Antiqua" w:cs="Book Antiqua"/>
        <w:color w:val="0020A4"/>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B48C" w14:textId="77777777" w:rsidR="007D7B8A" w:rsidRPr="00A04CE9" w:rsidRDefault="00E14959">
    <w:pPr>
      <w:spacing w:line="259" w:lineRule="auto"/>
      <w:ind w:left="701" w:firstLine="0"/>
      <w:rPr>
        <w:rFonts w:ascii="Book Antiqua" w:hAnsi="Book Antiqua"/>
        <w:color w:val="4472C4" w:themeColor="accent1"/>
      </w:rPr>
    </w:pPr>
    <w:r w:rsidRPr="00A04CE9">
      <w:rPr>
        <w:rFonts w:ascii="Book Antiqua" w:eastAsia="Malgun Gothic" w:hAnsi="Book Antiqua" w:cs="Malgun Gothic"/>
        <w:color w:val="4472C4" w:themeColor="accent1"/>
        <w:sz w:val="25"/>
      </w:rPr>
      <w:t xml:space="preserve">The Foundation for The Gator Nation </w:t>
    </w:r>
  </w:p>
  <w:p w14:paraId="4CB033AE" w14:textId="77777777" w:rsidR="007D7B8A" w:rsidRPr="00DF3653" w:rsidRDefault="00E14959">
    <w:pPr>
      <w:spacing w:after="80" w:line="259" w:lineRule="auto"/>
      <w:ind w:left="720" w:firstLine="0"/>
      <w:rPr>
        <w:color w:val="4472C4" w:themeColor="accent1"/>
      </w:rPr>
    </w:pPr>
    <w:r w:rsidRPr="00DF3653">
      <w:rPr>
        <w:rFonts w:ascii="Book Antiqua" w:eastAsia="Book Antiqua" w:hAnsi="Book Antiqua" w:cs="Book Antiqua"/>
        <w:color w:val="4472C4" w:themeColor="accent1"/>
        <w:sz w:val="14"/>
      </w:rPr>
      <w:t xml:space="preserve">An Equal Opportunity Institution </w:t>
    </w:r>
  </w:p>
  <w:p w14:paraId="1EBB655E" w14:textId="77777777" w:rsidR="007D7B8A" w:rsidRDefault="00E14959">
    <w:pPr>
      <w:spacing w:line="259" w:lineRule="auto"/>
      <w:ind w:left="720" w:firstLine="0"/>
    </w:pPr>
    <w:r>
      <w:rPr>
        <w:rFonts w:ascii="Book Antiqua" w:eastAsia="Book Antiqua" w:hAnsi="Book Antiqua" w:cs="Book Antiqua"/>
        <w:color w:val="0020A4"/>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63FD" w14:textId="77777777" w:rsidR="007D7B8A" w:rsidRDefault="00E14959">
    <w:pPr>
      <w:spacing w:line="259" w:lineRule="auto"/>
      <w:ind w:left="701" w:firstLine="0"/>
    </w:pPr>
    <w:r>
      <w:rPr>
        <w:rFonts w:ascii="Malgun Gothic" w:eastAsia="Malgun Gothic" w:hAnsi="Malgun Gothic" w:cs="Malgun Gothic"/>
        <w:sz w:val="25"/>
      </w:rPr>
      <w:t xml:space="preserve">The Foundation for The Gator Nation </w:t>
    </w:r>
  </w:p>
  <w:p w14:paraId="39AAB761" w14:textId="77777777" w:rsidR="007D7B8A" w:rsidRDefault="00E14959">
    <w:pPr>
      <w:spacing w:after="80" w:line="259" w:lineRule="auto"/>
      <w:ind w:left="720" w:firstLine="0"/>
    </w:pPr>
    <w:r>
      <w:rPr>
        <w:rFonts w:ascii="Book Antiqua" w:eastAsia="Book Antiqua" w:hAnsi="Book Antiqua" w:cs="Book Antiqua"/>
        <w:sz w:val="14"/>
      </w:rPr>
      <w:t xml:space="preserve">An Equal Opportunity Institution </w:t>
    </w:r>
  </w:p>
  <w:p w14:paraId="6549CF3D" w14:textId="77777777" w:rsidR="007D7B8A" w:rsidRDefault="00E14959">
    <w:pPr>
      <w:spacing w:line="259" w:lineRule="auto"/>
      <w:ind w:left="720" w:firstLine="0"/>
    </w:pPr>
    <w:r>
      <w:rPr>
        <w:rFonts w:ascii="Book Antiqua" w:eastAsia="Book Antiqua" w:hAnsi="Book Antiqua" w:cs="Book Antiqua"/>
        <w:color w:val="0020A4"/>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0AEF" w14:textId="77777777" w:rsidR="00D465AE" w:rsidRDefault="00D465AE">
      <w:pPr>
        <w:spacing w:line="240" w:lineRule="auto"/>
      </w:pPr>
      <w:r>
        <w:separator/>
      </w:r>
    </w:p>
  </w:footnote>
  <w:footnote w:type="continuationSeparator" w:id="0">
    <w:p w14:paraId="06B0AC4B" w14:textId="77777777" w:rsidR="00D465AE" w:rsidRDefault="00D46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8F22" w14:textId="77777777" w:rsidR="007D7B8A" w:rsidRDefault="00E14959">
    <w:pPr>
      <w:spacing w:line="259" w:lineRule="auto"/>
      <w:ind w:left="-380" w:firstLine="0"/>
    </w:pPr>
    <w:r>
      <w:rPr>
        <w:rFonts w:ascii="Arial" w:eastAsia="Arial" w:hAnsi="Arial" w:cs="Arial"/>
        <w:sz w:val="16"/>
      </w:rPr>
      <w:t>DocuSign Envelope ID: 1ED013CC-96EC-4357-8EE7-016683544216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A3183" w14:textId="77777777" w:rsidR="007D7B8A" w:rsidRDefault="00E14959">
    <w:pPr>
      <w:spacing w:line="259" w:lineRule="auto"/>
      <w:ind w:left="-380" w:firstLine="0"/>
    </w:pPr>
    <w:r>
      <w:rPr>
        <w:rFonts w:ascii="Arial" w:eastAsia="Arial" w:hAnsi="Arial" w:cs="Arial"/>
        <w:sz w:val="16"/>
      </w:rPr>
      <w:t>DocuSign Envelope ID: 1ED013CC-96EC-4357-8EE7-016683544216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322C"/>
    <w:multiLevelType w:val="hybridMultilevel"/>
    <w:tmpl w:val="1B04E370"/>
    <w:lvl w:ilvl="0" w:tplc="00D405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3B89D34">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48D8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624F15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98EFC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4E40AE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AE605A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18C37E2">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AE8F762">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7C21D3D"/>
    <w:multiLevelType w:val="hybridMultilevel"/>
    <w:tmpl w:val="2D963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51438999">
    <w:abstractNumId w:val="0"/>
  </w:num>
  <w:num w:numId="2" w16cid:durableId="144815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8A"/>
    <w:rsid w:val="00014D85"/>
    <w:rsid w:val="00067D0A"/>
    <w:rsid w:val="00097F8E"/>
    <w:rsid w:val="000A0A7F"/>
    <w:rsid w:val="000B6DCD"/>
    <w:rsid w:val="00117520"/>
    <w:rsid w:val="00161462"/>
    <w:rsid w:val="00172B73"/>
    <w:rsid w:val="00195CC3"/>
    <w:rsid w:val="001B4036"/>
    <w:rsid w:val="001E09F5"/>
    <w:rsid w:val="00284320"/>
    <w:rsid w:val="00294D5B"/>
    <w:rsid w:val="002A0FD7"/>
    <w:rsid w:val="0034501E"/>
    <w:rsid w:val="00394A39"/>
    <w:rsid w:val="003E13A4"/>
    <w:rsid w:val="004B4E9D"/>
    <w:rsid w:val="004D26A1"/>
    <w:rsid w:val="00523466"/>
    <w:rsid w:val="0054467B"/>
    <w:rsid w:val="00612DFA"/>
    <w:rsid w:val="0069572E"/>
    <w:rsid w:val="006B7DF9"/>
    <w:rsid w:val="006C6888"/>
    <w:rsid w:val="007730A0"/>
    <w:rsid w:val="007D7B8A"/>
    <w:rsid w:val="00831CEC"/>
    <w:rsid w:val="00846668"/>
    <w:rsid w:val="008545E5"/>
    <w:rsid w:val="008722F9"/>
    <w:rsid w:val="008A1E7E"/>
    <w:rsid w:val="008F7195"/>
    <w:rsid w:val="00932573"/>
    <w:rsid w:val="009737F0"/>
    <w:rsid w:val="00997701"/>
    <w:rsid w:val="009C3544"/>
    <w:rsid w:val="00A04CE9"/>
    <w:rsid w:val="00AC08E6"/>
    <w:rsid w:val="00C22C42"/>
    <w:rsid w:val="00C54CA9"/>
    <w:rsid w:val="00C74977"/>
    <w:rsid w:val="00C83046"/>
    <w:rsid w:val="00C95A02"/>
    <w:rsid w:val="00D465AE"/>
    <w:rsid w:val="00DE548B"/>
    <w:rsid w:val="00DF3653"/>
    <w:rsid w:val="00E14959"/>
    <w:rsid w:val="00E33309"/>
    <w:rsid w:val="00E45C8B"/>
    <w:rsid w:val="00E63ECC"/>
    <w:rsid w:val="00E8358F"/>
    <w:rsid w:val="00F3206D"/>
    <w:rsid w:val="00F5699B"/>
    <w:rsid w:val="00F9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615F8"/>
  <w15:docId w15:val="{A73BECF4-E42D-4D2E-AA76-B2380219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3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31CEC"/>
    <w:pPr>
      <w:tabs>
        <w:tab w:val="center" w:pos="4680"/>
        <w:tab w:val="right" w:pos="9360"/>
      </w:tabs>
      <w:spacing w:line="240" w:lineRule="auto"/>
    </w:pPr>
  </w:style>
  <w:style w:type="character" w:customStyle="1" w:styleId="HeaderChar">
    <w:name w:val="Header Char"/>
    <w:basedOn w:val="DefaultParagraphFont"/>
    <w:link w:val="Header"/>
    <w:uiPriority w:val="99"/>
    <w:rsid w:val="00831CEC"/>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523466"/>
    <w:rPr>
      <w:color w:val="0563C1" w:themeColor="hyperlink"/>
      <w:u w:val="single"/>
    </w:rPr>
  </w:style>
  <w:style w:type="character" w:styleId="UnresolvedMention">
    <w:name w:val="Unresolved Mention"/>
    <w:basedOn w:val="DefaultParagraphFont"/>
    <w:uiPriority w:val="99"/>
    <w:semiHidden/>
    <w:unhideWhenUsed/>
    <w:rsid w:val="00523466"/>
    <w:rPr>
      <w:color w:val="605E5C"/>
      <w:shd w:val="clear" w:color="auto" w:fill="E1DFDD"/>
    </w:rPr>
  </w:style>
  <w:style w:type="paragraph" w:styleId="Revision">
    <w:name w:val="Revision"/>
    <w:hidden/>
    <w:uiPriority w:val="99"/>
    <w:semiHidden/>
    <w:rsid w:val="008722F9"/>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8722F9"/>
    <w:rPr>
      <w:sz w:val="16"/>
      <w:szCs w:val="16"/>
    </w:rPr>
  </w:style>
  <w:style w:type="paragraph" w:styleId="CommentText">
    <w:name w:val="annotation text"/>
    <w:basedOn w:val="Normal"/>
    <w:link w:val="CommentTextChar"/>
    <w:uiPriority w:val="99"/>
    <w:semiHidden/>
    <w:unhideWhenUsed/>
    <w:rsid w:val="008722F9"/>
    <w:pPr>
      <w:spacing w:line="240" w:lineRule="auto"/>
    </w:pPr>
    <w:rPr>
      <w:sz w:val="20"/>
      <w:szCs w:val="20"/>
    </w:rPr>
  </w:style>
  <w:style w:type="character" w:customStyle="1" w:styleId="CommentTextChar">
    <w:name w:val="Comment Text Char"/>
    <w:basedOn w:val="DefaultParagraphFont"/>
    <w:link w:val="CommentText"/>
    <w:uiPriority w:val="99"/>
    <w:semiHidden/>
    <w:rsid w:val="008722F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722F9"/>
    <w:rPr>
      <w:b/>
      <w:bCs/>
    </w:rPr>
  </w:style>
  <w:style w:type="character" w:customStyle="1" w:styleId="CommentSubjectChar">
    <w:name w:val="Comment Subject Char"/>
    <w:basedOn w:val="CommentTextChar"/>
    <w:link w:val="CommentSubject"/>
    <w:uiPriority w:val="99"/>
    <w:semiHidden/>
    <w:rsid w:val="008722F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95C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C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40916">
      <w:bodyDiv w:val="1"/>
      <w:marLeft w:val="0"/>
      <w:marRight w:val="0"/>
      <w:marTop w:val="0"/>
      <w:marBottom w:val="0"/>
      <w:divBdr>
        <w:top w:val="none" w:sz="0" w:space="0" w:color="auto"/>
        <w:left w:val="none" w:sz="0" w:space="0" w:color="auto"/>
        <w:bottom w:val="none" w:sz="0" w:space="0" w:color="auto"/>
        <w:right w:val="none" w:sz="0" w:space="0" w:color="auto"/>
      </w:divBdr>
    </w:div>
    <w:div w:id="1872958827">
      <w:bodyDiv w:val="1"/>
      <w:marLeft w:val="0"/>
      <w:marRight w:val="0"/>
      <w:marTop w:val="0"/>
      <w:marBottom w:val="0"/>
      <w:divBdr>
        <w:top w:val="none" w:sz="0" w:space="0" w:color="auto"/>
        <w:left w:val="none" w:sz="0" w:space="0" w:color="auto"/>
        <w:bottom w:val="none" w:sz="0" w:space="0" w:color="auto"/>
        <w:right w:val="none" w:sz="0" w:space="0" w:color="auto"/>
      </w:divBdr>
      <w:divsChild>
        <w:div w:id="2102137366">
          <w:marLeft w:val="0"/>
          <w:marRight w:val="0"/>
          <w:marTop w:val="0"/>
          <w:marBottom w:val="0"/>
          <w:divBdr>
            <w:top w:val="none" w:sz="0" w:space="0" w:color="auto"/>
            <w:left w:val="none" w:sz="0" w:space="0" w:color="auto"/>
            <w:bottom w:val="none" w:sz="0" w:space="0" w:color="auto"/>
            <w:right w:val="none" w:sz="0" w:space="0" w:color="auto"/>
          </w:divBdr>
        </w:div>
      </w:divsChild>
    </w:div>
    <w:div w:id="1928878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ifas.ufl.edu" TargetMode="External"/><Relationship Id="rId18" Type="http://schemas.openxmlformats.org/officeDocument/2006/relationships/hyperlink" Target="http://www.flseagrant.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xplore.jobs.ufl.edu/cw/en-us/job/504753" TargetMode="External"/><Relationship Id="rId7" Type="http://schemas.openxmlformats.org/officeDocument/2006/relationships/endnotes" Target="endnotes.xml"/><Relationship Id="rId12" Type="http://schemas.openxmlformats.org/officeDocument/2006/relationships/hyperlink" Target="http://www.ufl.edu/" TargetMode="External"/><Relationship Id="rId17" Type="http://schemas.openxmlformats.org/officeDocument/2006/relationships/hyperlink" Target="http://www.vetmed.ufl.ed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fyl.ifas.ufl.edu/" TargetMode="External"/><Relationship Id="rId20" Type="http://schemas.openxmlformats.org/officeDocument/2006/relationships/hyperlink" Target="https://explore.jobs.ufl.edu/en-us/job/52417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ycs.ufl.ed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research.ifas.ufl.edu/" TargetMode="External"/><Relationship Id="rId23" Type="http://schemas.openxmlformats.org/officeDocument/2006/relationships/hyperlink" Target="http://www.ufl.edu" TargetMode="External"/><Relationship Id="rId28" Type="http://schemas.openxmlformats.org/officeDocument/2006/relationships/footer" Target="footer3.xml"/><Relationship Id="rId10" Type="http://schemas.openxmlformats.org/officeDocument/2006/relationships/hyperlink" Target="https://hr.ufl.edu/manager-resources/recruitment-staffing/institutional-equity-diversity/ada-and-accessibility-services-for-uf-employees-and-job-applicants/" TargetMode="External"/><Relationship Id="rId19" Type="http://schemas.openxmlformats.org/officeDocument/2006/relationships/hyperlink" Target="mailto:kfogarty@ufl.edu" TargetMode="External"/><Relationship Id="rId4" Type="http://schemas.openxmlformats.org/officeDocument/2006/relationships/settings" Target="settings.xml"/><Relationship Id="rId9" Type="http://schemas.openxmlformats.org/officeDocument/2006/relationships/hyperlink" Target="http://ifas.ufl.edu" TargetMode="External"/><Relationship Id="rId14" Type="http://schemas.openxmlformats.org/officeDocument/2006/relationships/hyperlink" Target="http://cals.ufl.edu/" TargetMode="External"/><Relationship Id="rId22" Type="http://schemas.openxmlformats.org/officeDocument/2006/relationships/hyperlink" Target="http://www.naces.org/"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E4014-DA76-4827-9EBB-1F19AA557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Pearson</dc:creator>
  <cp:keywords/>
  <cp:lastModifiedBy>LeCuyer,Dana L</cp:lastModifiedBy>
  <cp:revision>4</cp:revision>
  <cp:lastPrinted>2022-09-19T21:12:00Z</cp:lastPrinted>
  <dcterms:created xsi:type="dcterms:W3CDTF">2022-09-22T13:38:00Z</dcterms:created>
  <dcterms:modified xsi:type="dcterms:W3CDTF">2022-10-11T20:48:00Z</dcterms:modified>
</cp:coreProperties>
</file>