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1565" w14:textId="35B7C423" w:rsidR="00C37764" w:rsidRDefault="002D470A" w:rsidP="002D470A">
      <w:pPr>
        <w:pStyle w:val="Title"/>
      </w:pPr>
      <w:r w:rsidRPr="002D470A">
        <w:t xml:space="preserve">UO ASSIGNMENT of TTF and CAREER FACULTY </w:t>
      </w:r>
      <w:r w:rsidR="00222818">
        <w:br/>
      </w:r>
      <w:r w:rsidRPr="002D470A">
        <w:t>PROFESSIONAL RESPONSIBILITIES POLICY</w:t>
      </w:r>
    </w:p>
    <w:p w14:paraId="1EE4595E" w14:textId="2764BCD5" w:rsidR="002607A1" w:rsidRPr="002607A1" w:rsidRDefault="002607A1" w:rsidP="002607A1">
      <w:r w:rsidRPr="002607A1">
        <w:rPr>
          <w:b/>
          <w:bCs/>
        </w:rPr>
        <w:t xml:space="preserve">Unit: </w:t>
      </w:r>
      <w:r>
        <w:t>College of Education</w:t>
      </w:r>
    </w:p>
    <w:p w14:paraId="39452166" w14:textId="47DD0C3B" w:rsidR="002607A1" w:rsidRPr="002607A1" w:rsidRDefault="002607A1" w:rsidP="002607A1">
      <w:r w:rsidRPr="002607A1">
        <w:rPr>
          <w:b/>
          <w:bCs/>
        </w:rPr>
        <w:t xml:space="preserve">Previous version approved: </w:t>
      </w:r>
      <w:r w:rsidR="005262C6">
        <w:t>June 15, 2017 (TTF), October 24, 2017 (Career)</w:t>
      </w:r>
    </w:p>
    <w:p w14:paraId="2C1F0D03" w14:textId="2BC88D2F" w:rsidR="002607A1" w:rsidRPr="002607A1" w:rsidRDefault="002607A1" w:rsidP="002607A1">
      <w:r w:rsidRPr="002607A1">
        <w:rPr>
          <w:b/>
          <w:bCs/>
        </w:rPr>
        <w:t xml:space="preserve">Faculty approved: </w:t>
      </w:r>
      <w:r w:rsidR="00584E65">
        <w:t>May 30</w:t>
      </w:r>
      <w:r w:rsidRPr="002607A1">
        <w:t>, 2024</w:t>
      </w:r>
    </w:p>
    <w:p w14:paraId="3E430674" w14:textId="062B0A34" w:rsidR="002607A1" w:rsidRPr="002607A1" w:rsidRDefault="002607A1" w:rsidP="002607A1">
      <w:r w:rsidRPr="002607A1">
        <w:rPr>
          <w:b/>
          <w:bCs/>
        </w:rPr>
        <w:t xml:space="preserve">Dean’s revision received by </w:t>
      </w:r>
      <w:proofErr w:type="spellStart"/>
      <w:r w:rsidRPr="002607A1">
        <w:rPr>
          <w:b/>
          <w:bCs/>
        </w:rPr>
        <w:t>OtP</w:t>
      </w:r>
      <w:proofErr w:type="spellEnd"/>
      <w:r w:rsidRPr="002607A1">
        <w:rPr>
          <w:b/>
          <w:bCs/>
        </w:rPr>
        <w:t>:</w:t>
      </w:r>
      <w:r w:rsidRPr="002607A1">
        <w:t xml:space="preserve"> June </w:t>
      </w:r>
      <w:r w:rsidR="00584E65">
        <w:t>11</w:t>
      </w:r>
      <w:r w:rsidRPr="002607A1">
        <w:t>, 2024</w:t>
      </w:r>
    </w:p>
    <w:p w14:paraId="2C5B6C3B" w14:textId="3C332D68" w:rsidR="002607A1" w:rsidRPr="002607A1" w:rsidRDefault="002607A1" w:rsidP="00584E65">
      <w:pPr>
        <w:spacing w:after="240"/>
      </w:pPr>
      <w:r w:rsidRPr="002607A1">
        <w:rPr>
          <w:b/>
          <w:bCs/>
        </w:rPr>
        <w:t xml:space="preserve">Date of </w:t>
      </w:r>
      <w:proofErr w:type="spellStart"/>
      <w:r w:rsidRPr="002607A1">
        <w:rPr>
          <w:b/>
          <w:bCs/>
        </w:rPr>
        <w:t>OtP</w:t>
      </w:r>
      <w:proofErr w:type="spellEnd"/>
      <w:r w:rsidRPr="002607A1">
        <w:rPr>
          <w:b/>
          <w:bCs/>
        </w:rPr>
        <w:t xml:space="preserve"> approval: </w:t>
      </w:r>
      <w:r w:rsidRPr="002607A1">
        <w:t xml:space="preserve">September </w:t>
      </w:r>
      <w:r w:rsidR="00584E65">
        <w:t>23</w:t>
      </w:r>
      <w:r w:rsidRPr="002607A1">
        <w:t>, 2024</w:t>
      </w:r>
    </w:p>
    <w:p w14:paraId="303E5B8F" w14:textId="67747E2D" w:rsidR="00D377E4" w:rsidRPr="00907AE7" w:rsidRDefault="002607A1" w:rsidP="002D470A">
      <w:pPr>
        <w:spacing w:after="240"/>
        <w:rPr>
          <w:sz w:val="20"/>
          <w:szCs w:val="20"/>
        </w:rPr>
      </w:pPr>
      <w:r w:rsidRPr="002607A1">
        <w:rPr>
          <w:i/>
          <w:iCs/>
          <w:sz w:val="20"/>
          <w:szCs w:val="20"/>
        </w:rPr>
        <w:t>Note: Black text in this document indicates policy template language. Blue text indicates text added by the unit.</w:t>
      </w:r>
    </w:p>
    <w:p w14:paraId="5BA28082" w14:textId="7E4A7C99" w:rsidR="002D63EB" w:rsidRPr="00181A4D" w:rsidRDefault="006654C5" w:rsidP="00181A4D">
      <w:pPr>
        <w:pStyle w:val="Heading1"/>
      </w:pPr>
      <w:r w:rsidRPr="002D470A">
        <w:t>PREAMBLE</w:t>
      </w:r>
    </w:p>
    <w:p w14:paraId="7343E49B" w14:textId="6299DA51" w:rsidR="00FA423D" w:rsidRPr="00181A4D" w:rsidRDefault="009C3AB1" w:rsidP="008424D8">
      <w:pPr>
        <w:pStyle w:val="ListParagraph"/>
        <w:spacing w:after="240"/>
        <w:ind w:left="450"/>
        <w:contextualSpacing w:val="0"/>
        <w:rPr>
          <w:rFonts w:eastAsiaTheme="minorEastAsia"/>
        </w:rPr>
      </w:pPr>
      <w:r w:rsidRPr="46F71FDA">
        <w:rPr>
          <w:rFonts w:eastAsiaTheme="minorEastAsia"/>
        </w:rPr>
        <w:t xml:space="preserve">This policy </w:t>
      </w:r>
      <w:r w:rsidR="00F03E9E" w:rsidRPr="46F71FDA">
        <w:rPr>
          <w:rFonts w:eastAsiaTheme="minorEastAsia"/>
        </w:rPr>
        <w:t xml:space="preserve">governs </w:t>
      </w:r>
      <w:r w:rsidR="00B930AD" w:rsidRPr="46F71FDA">
        <w:rPr>
          <w:rFonts w:eastAsiaTheme="minorEastAsia"/>
        </w:rPr>
        <w:t xml:space="preserve">the assignment of professional responsibilities in the unit. </w:t>
      </w:r>
      <w:r w:rsidR="00C7544B" w:rsidRPr="46F71FDA">
        <w:rPr>
          <w:rFonts w:eastAsiaTheme="minorEastAsia"/>
        </w:rPr>
        <w:t>Assignment of professional responsibilities may consist of some combination of instructional activities (including class preparation, classroom teaching, evaluation of student work, advising and mentoring, and various forms of communication with students); research, scholarship, and creative activity; service within the department, school, college, institute, libraries, or the University; service to external organizations or communities; and professional development activities.</w:t>
      </w:r>
    </w:p>
    <w:p w14:paraId="1DCF839E" w14:textId="0F06211B" w:rsidR="006654C5" w:rsidRPr="00181A4D" w:rsidRDefault="006654C5" w:rsidP="00181A4D">
      <w:pPr>
        <w:pStyle w:val="Heading1"/>
      </w:pPr>
      <w:r>
        <w:t>GENERAL CONSIDERATIONS</w:t>
      </w:r>
    </w:p>
    <w:p w14:paraId="07520C59" w14:textId="5F88D1EC" w:rsidR="00FA423D" w:rsidRPr="00B123D9" w:rsidRDefault="00C7544B" w:rsidP="00B123D9">
      <w:pPr>
        <w:pStyle w:val="Heading2"/>
      </w:pPr>
      <w:r w:rsidRPr="00B123D9">
        <w:t>Workloads</w:t>
      </w:r>
    </w:p>
    <w:p w14:paraId="2406E316" w14:textId="567D1ED8" w:rsidR="00C7544B" w:rsidRPr="002B5E2D" w:rsidRDefault="00C7544B" w:rsidP="002D470A">
      <w:pPr>
        <w:pStyle w:val="ListParagraph"/>
        <w:spacing w:after="240"/>
        <w:contextualSpacing w:val="0"/>
        <w:rPr>
          <w:rFonts w:eastAsiaTheme="minorEastAsia"/>
        </w:rPr>
      </w:pPr>
      <w:r w:rsidRPr="24C209F9">
        <w:rPr>
          <w:rFonts w:eastAsiaTheme="minorEastAsia"/>
        </w:rPr>
        <w:t>A faculty member’s particular workload shall be assigned in accordance with their position description and unit-level policy</w:t>
      </w:r>
      <w:r w:rsidR="00FD22D3">
        <w:rPr>
          <w:rFonts w:eastAsiaTheme="minorEastAsia"/>
        </w:rPr>
        <w:t xml:space="preserve"> (i.e., the college policy)</w:t>
      </w:r>
      <w:r w:rsidRPr="24C209F9">
        <w:rPr>
          <w:rFonts w:eastAsiaTheme="minorEastAsia"/>
        </w:rPr>
        <w:t>. Assignments shall reflect:</w:t>
      </w:r>
    </w:p>
    <w:p w14:paraId="10ACF2E2" w14:textId="5643F85B" w:rsidR="00C7544B" w:rsidRPr="00B123D9" w:rsidRDefault="00C7544B" w:rsidP="00907AE7">
      <w:pPr>
        <w:pStyle w:val="ListParagraph"/>
        <w:numPr>
          <w:ilvl w:val="2"/>
          <w:numId w:val="54"/>
        </w:numPr>
        <w:rPr>
          <w:rFonts w:eastAsiaTheme="minorEastAsia"/>
        </w:rPr>
      </w:pPr>
      <w:r w:rsidRPr="00B123D9">
        <w:rPr>
          <w:rFonts w:eastAsiaTheme="minorEastAsia"/>
        </w:rPr>
        <w:t xml:space="preserve">The instruction, research, </w:t>
      </w:r>
      <w:r w:rsidR="3ECACAE7" w:rsidRPr="00B123D9">
        <w:rPr>
          <w:rFonts w:eastAsiaTheme="minorEastAsia"/>
        </w:rPr>
        <w:t xml:space="preserve">supervision, </w:t>
      </w:r>
      <w:r w:rsidRPr="00B123D9">
        <w:rPr>
          <w:rFonts w:eastAsiaTheme="minorEastAsia"/>
        </w:rPr>
        <w:t xml:space="preserve">and service needs of the university and its departments, institutes, </w:t>
      </w:r>
      <w:bookmarkStart w:id="0" w:name="_Int_RFgNgskm"/>
      <w:r w:rsidRPr="00B123D9">
        <w:rPr>
          <w:rFonts w:eastAsiaTheme="minorEastAsia"/>
        </w:rPr>
        <w:t>centers</w:t>
      </w:r>
      <w:bookmarkEnd w:id="0"/>
      <w:r w:rsidRPr="00B123D9">
        <w:rPr>
          <w:rFonts w:eastAsiaTheme="minorEastAsia"/>
        </w:rPr>
        <w:t xml:space="preserve"> and other academic </w:t>
      </w:r>
      <w:proofErr w:type="gramStart"/>
      <w:r w:rsidRPr="00B123D9">
        <w:rPr>
          <w:rFonts w:eastAsiaTheme="minorEastAsia"/>
        </w:rPr>
        <w:t>units;</w:t>
      </w:r>
      <w:proofErr w:type="gramEnd"/>
    </w:p>
    <w:p w14:paraId="39E7E45A" w14:textId="785AA17F" w:rsidR="00C7544B" w:rsidRPr="002B5E2D" w:rsidRDefault="00C7544B" w:rsidP="00907AE7">
      <w:pPr>
        <w:pStyle w:val="ListParagraph"/>
        <w:numPr>
          <w:ilvl w:val="2"/>
          <w:numId w:val="54"/>
        </w:numPr>
        <w:contextualSpacing w:val="0"/>
        <w:rPr>
          <w:rFonts w:eastAsiaTheme="minorEastAsia"/>
        </w:rPr>
      </w:pPr>
      <w:r w:rsidRPr="24C209F9">
        <w:rPr>
          <w:rFonts w:eastAsiaTheme="minorEastAsia"/>
        </w:rPr>
        <w:t xml:space="preserve">The faculty member’s qualifications and expertise and potential to acquire the appropriate </w:t>
      </w:r>
      <w:proofErr w:type="gramStart"/>
      <w:r w:rsidRPr="24C209F9">
        <w:rPr>
          <w:rFonts w:eastAsiaTheme="minorEastAsia"/>
        </w:rPr>
        <w:t>expertise;</w:t>
      </w:r>
      <w:proofErr w:type="gramEnd"/>
    </w:p>
    <w:p w14:paraId="10301B8D" w14:textId="3BC48571" w:rsidR="00C7544B" w:rsidRPr="00C7544B" w:rsidRDefault="00C7544B" w:rsidP="00907AE7">
      <w:pPr>
        <w:pStyle w:val="ListParagraph"/>
        <w:numPr>
          <w:ilvl w:val="2"/>
          <w:numId w:val="54"/>
        </w:numPr>
        <w:contextualSpacing w:val="0"/>
        <w:rPr>
          <w:rFonts w:eastAsiaTheme="minorEastAsia"/>
        </w:rPr>
      </w:pPr>
      <w:r w:rsidRPr="24C209F9">
        <w:rPr>
          <w:rFonts w:eastAsiaTheme="minorEastAsia"/>
        </w:rPr>
        <w:t xml:space="preserve">The faculty </w:t>
      </w:r>
      <w:proofErr w:type="gramStart"/>
      <w:r w:rsidRPr="24C209F9">
        <w:rPr>
          <w:rFonts w:eastAsiaTheme="minorEastAsia"/>
        </w:rPr>
        <w:t>member’s</w:t>
      </w:r>
      <w:proofErr w:type="gramEnd"/>
      <w:r w:rsidRPr="24C209F9">
        <w:rPr>
          <w:rFonts w:eastAsiaTheme="minorEastAsia"/>
        </w:rPr>
        <w:t xml:space="preserve"> evolving professional </w:t>
      </w:r>
      <w:proofErr w:type="gramStart"/>
      <w:r w:rsidRPr="24C209F9">
        <w:rPr>
          <w:rFonts w:eastAsiaTheme="minorEastAsia"/>
        </w:rPr>
        <w:t>interests;</w:t>
      </w:r>
      <w:proofErr w:type="gramEnd"/>
    </w:p>
    <w:p w14:paraId="5D415D4E" w14:textId="2379FF08" w:rsidR="00C7544B" w:rsidRPr="002B5E2D" w:rsidRDefault="00C7544B" w:rsidP="00907AE7">
      <w:pPr>
        <w:pStyle w:val="ListParagraph"/>
        <w:numPr>
          <w:ilvl w:val="2"/>
          <w:numId w:val="54"/>
        </w:numPr>
        <w:contextualSpacing w:val="0"/>
        <w:rPr>
          <w:rFonts w:eastAsiaTheme="minorEastAsia"/>
        </w:rPr>
      </w:pPr>
      <w:r w:rsidRPr="24C209F9">
        <w:rPr>
          <w:rFonts w:eastAsiaTheme="minorEastAsia"/>
        </w:rPr>
        <w:t xml:space="preserve">Generally accepted practices in the </w:t>
      </w:r>
      <w:proofErr w:type="gramStart"/>
      <w:r w:rsidRPr="24C209F9">
        <w:rPr>
          <w:rFonts w:eastAsiaTheme="minorEastAsia"/>
        </w:rPr>
        <w:t>field;</w:t>
      </w:r>
      <w:proofErr w:type="gramEnd"/>
      <w:r w:rsidRPr="24C209F9">
        <w:rPr>
          <w:rFonts w:eastAsiaTheme="minorEastAsia"/>
        </w:rPr>
        <w:t xml:space="preserve"> </w:t>
      </w:r>
    </w:p>
    <w:p w14:paraId="4EFF1239" w14:textId="77777777" w:rsidR="00CD11B0" w:rsidRDefault="00C7544B" w:rsidP="00907AE7">
      <w:pPr>
        <w:pStyle w:val="ListParagraph"/>
        <w:numPr>
          <w:ilvl w:val="2"/>
          <w:numId w:val="54"/>
        </w:numPr>
        <w:spacing w:after="240"/>
        <w:contextualSpacing w:val="0"/>
        <w:rPr>
          <w:ins w:id="1" w:author="Office of the Provost" w:date="2026-01-07T13:42:00Z" w16du:dateUtc="2026-01-07T21:42:00Z"/>
          <w:rFonts w:eastAsiaTheme="minorEastAsia"/>
        </w:rPr>
      </w:pPr>
      <w:r w:rsidRPr="24C209F9">
        <w:rPr>
          <w:rFonts w:eastAsiaTheme="minorEastAsia"/>
        </w:rPr>
        <w:t>A realistic balance of duties consistent with the criteria for review</w:t>
      </w:r>
      <w:ins w:id="2" w:author="Office of the Provost" w:date="2026-01-07T13:42:00Z" w16du:dateUtc="2026-01-07T21:42:00Z">
        <w:r w:rsidR="00CD11B0">
          <w:rPr>
            <w:rFonts w:eastAsiaTheme="minorEastAsia"/>
          </w:rPr>
          <w:t>; and</w:t>
        </w:r>
      </w:ins>
    </w:p>
    <w:p w14:paraId="55CD5656" w14:textId="72CCEFBE" w:rsidR="00FA423D" w:rsidRPr="0077178C" w:rsidRDefault="00BC52CE" w:rsidP="00907AE7">
      <w:pPr>
        <w:pStyle w:val="ListParagraph"/>
        <w:numPr>
          <w:ilvl w:val="2"/>
          <w:numId w:val="54"/>
        </w:numPr>
        <w:spacing w:after="240"/>
        <w:contextualSpacing w:val="0"/>
        <w:rPr>
          <w:rFonts w:eastAsiaTheme="minorEastAsia"/>
        </w:rPr>
      </w:pPr>
      <w:ins w:id="3" w:author="Office of the Provost" w:date="2026-01-07T13:42:00Z" w16du:dateUtc="2026-01-07T21:42:00Z">
        <w:r>
          <w:t xml:space="preserve">Funding-contingent faculty members will not be assigned duties not covered by their funding source(s). Evaluations will solely </w:t>
        </w:r>
        <w:proofErr w:type="gramStart"/>
        <w:r>
          <w:t>be on</w:t>
        </w:r>
        <w:proofErr w:type="gramEnd"/>
        <w:r>
          <w:t xml:space="preserve"> funded and assisted duties</w:t>
        </w:r>
      </w:ins>
      <w:r w:rsidR="00C7544B" w:rsidRPr="24C209F9">
        <w:rPr>
          <w:rFonts w:eastAsiaTheme="minorEastAsia"/>
        </w:rPr>
        <w:t>.</w:t>
      </w:r>
    </w:p>
    <w:p w14:paraId="1E34483F" w14:textId="3050AC28" w:rsidR="00FA423D" w:rsidRDefault="00C7544B" w:rsidP="0077178C">
      <w:pPr>
        <w:pStyle w:val="Heading2"/>
      </w:pPr>
      <w:proofErr w:type="gramStart"/>
      <w:r w:rsidRPr="24C209F9">
        <w:t>Assignment</w:t>
      </w:r>
      <w:r w:rsidR="00DC48C0" w:rsidRPr="24C209F9">
        <w:t xml:space="preserve"> of Workload</w:t>
      </w:r>
      <w:proofErr w:type="gramEnd"/>
    </w:p>
    <w:p w14:paraId="70DB9896" w14:textId="20F4B9F8" w:rsidR="004E0F44" w:rsidRPr="0077178C" w:rsidRDefault="00C7544B" w:rsidP="00660877">
      <w:pPr>
        <w:pStyle w:val="ListParagraph"/>
        <w:spacing w:after="240"/>
        <w:contextualSpacing w:val="0"/>
        <w:rPr>
          <w:rFonts w:eastAsiaTheme="minorEastAsia"/>
        </w:rPr>
      </w:pPr>
      <w:r w:rsidRPr="24C209F9">
        <w:rPr>
          <w:rFonts w:eastAsiaTheme="minorEastAsia"/>
        </w:rPr>
        <w:t xml:space="preserve">The Office of the Provost shall be ultimately responsible, subject to delegation, for the assignment of all faculty members’ professional responsibilities. </w:t>
      </w:r>
    </w:p>
    <w:p w14:paraId="3F9E90A2" w14:textId="6E31CDEC" w:rsidR="0092328B" w:rsidRPr="00660877" w:rsidRDefault="00685FCE" w:rsidP="00660877">
      <w:pPr>
        <w:pStyle w:val="ListParagraph"/>
        <w:spacing w:after="240"/>
        <w:contextualSpacing w:val="0"/>
        <w:rPr>
          <w:rFonts w:eastAsiaTheme="minorEastAsia"/>
        </w:rPr>
      </w:pPr>
      <w:r w:rsidRPr="24C209F9">
        <w:rPr>
          <w:rFonts w:eastAsiaTheme="minorEastAsia"/>
        </w:rPr>
        <w:t>F</w:t>
      </w:r>
      <w:r w:rsidR="00C7544B" w:rsidRPr="24C209F9">
        <w:rPr>
          <w:rFonts w:eastAsiaTheme="minorEastAsia"/>
        </w:rPr>
        <w:t xml:space="preserve">aculty members shall be afforded the opportunity to meet with their department or unit head annually, before responsibilities are assigned, to discuss the faculty member’s preferences </w:t>
      </w:r>
      <w:r w:rsidR="00C7544B" w:rsidRPr="24C209F9">
        <w:rPr>
          <w:rFonts w:eastAsiaTheme="minorEastAsia"/>
        </w:rPr>
        <w:lastRenderedPageBreak/>
        <w:t xml:space="preserve">regarding assignments for teaching, </w:t>
      </w:r>
      <w:r w:rsidR="523F9123" w:rsidRPr="24C209F9">
        <w:rPr>
          <w:rFonts w:eastAsiaTheme="minorEastAsia"/>
        </w:rPr>
        <w:t xml:space="preserve">supervision, </w:t>
      </w:r>
      <w:r w:rsidR="00C7544B" w:rsidRPr="24C209F9">
        <w:rPr>
          <w:rFonts w:eastAsiaTheme="minorEastAsia"/>
        </w:rPr>
        <w:t xml:space="preserve">research, </w:t>
      </w:r>
      <w:bookmarkStart w:id="4" w:name="_Int_H6iFrHZa"/>
      <w:r w:rsidR="00C7544B" w:rsidRPr="24C209F9">
        <w:rPr>
          <w:rFonts w:eastAsiaTheme="minorEastAsia"/>
        </w:rPr>
        <w:t>service</w:t>
      </w:r>
      <w:bookmarkEnd w:id="4"/>
      <w:r w:rsidR="00C7544B" w:rsidRPr="24C209F9">
        <w:rPr>
          <w:rFonts w:eastAsiaTheme="minorEastAsia"/>
        </w:rPr>
        <w:t xml:space="preserve"> and other professional </w:t>
      </w:r>
      <w:proofErr w:type="gramStart"/>
      <w:r w:rsidR="00C7544B" w:rsidRPr="24C209F9">
        <w:rPr>
          <w:rFonts w:eastAsiaTheme="minorEastAsia"/>
        </w:rPr>
        <w:t>responsibilities as</w:t>
      </w:r>
      <w:proofErr w:type="gramEnd"/>
      <w:r w:rsidR="00C7544B" w:rsidRPr="24C209F9">
        <w:rPr>
          <w:rFonts w:eastAsiaTheme="minorEastAsia"/>
        </w:rPr>
        <w:t xml:space="preserve"> set forth in this </w:t>
      </w:r>
      <w:r w:rsidRPr="24C209F9">
        <w:rPr>
          <w:rFonts w:eastAsiaTheme="minorEastAsia"/>
        </w:rPr>
        <w:t>policy</w:t>
      </w:r>
      <w:r w:rsidR="00C7544B" w:rsidRPr="24C209F9">
        <w:rPr>
          <w:rFonts w:eastAsiaTheme="minorEastAsia"/>
        </w:rPr>
        <w:t>, and the member’s anticipated resource needs. At the</w:t>
      </w:r>
      <w:r w:rsidRPr="24C209F9">
        <w:rPr>
          <w:rFonts w:eastAsiaTheme="minorEastAsia"/>
        </w:rPr>
        <w:t xml:space="preserve"> </w:t>
      </w:r>
      <w:r w:rsidR="00C7544B" w:rsidRPr="24C209F9">
        <w:rPr>
          <w:rFonts w:eastAsiaTheme="minorEastAsia"/>
        </w:rPr>
        <w:t>faculty member’s request, their caregiving responsibilities shall be considered in the scheduling of assignments.</w:t>
      </w:r>
    </w:p>
    <w:p w14:paraId="4544EABB" w14:textId="7852CBEE" w:rsidR="00C7544B" w:rsidRPr="00660877" w:rsidRDefault="0092328B" w:rsidP="00660877">
      <w:pPr>
        <w:pStyle w:val="ListParagraph"/>
        <w:spacing w:after="240"/>
        <w:contextualSpacing w:val="0"/>
        <w:rPr>
          <w:rFonts w:eastAsiaTheme="minorEastAsia"/>
          <w:color w:val="4472C4" w:themeColor="accent1"/>
        </w:rPr>
      </w:pPr>
      <w:r w:rsidRPr="005C00CF">
        <w:rPr>
          <w:rFonts w:eastAsiaTheme="minorEastAsia"/>
          <w:color w:val="4472C4" w:themeColor="accent1"/>
        </w:rPr>
        <w:t>The department or unit head may modify scheduled assignments, provided they discuss changes with the faculty member before they are made and that changes are not made for arbitrary or capricious reasons. Faculty members shall be given as much notice as possible about potential changes to their scheduled assignments. </w:t>
      </w:r>
    </w:p>
    <w:p w14:paraId="62858B69" w14:textId="6C2DE872" w:rsidR="00C7544B" w:rsidRPr="00660877" w:rsidRDefault="0019119B" w:rsidP="00660877">
      <w:pPr>
        <w:pStyle w:val="ListParagraph"/>
        <w:spacing w:after="240"/>
        <w:contextualSpacing w:val="0"/>
        <w:rPr>
          <w:rFonts w:eastAsiaTheme="minorEastAsia"/>
          <w:color w:val="4472C4" w:themeColor="accent1"/>
        </w:rPr>
      </w:pPr>
      <w:r w:rsidRPr="00F8213F">
        <w:rPr>
          <w:rFonts w:eastAsiaTheme="minorEastAsia"/>
          <w:color w:val="4472C4" w:themeColor="accent1"/>
        </w:rPr>
        <w:t xml:space="preserve">Annual workload timelines are set by the COE as indicated in the COE Implementation Guidance. Individual academic departments may set internal timelines to accomplish workload planning within the COE timeline. Internal timelines will include </w:t>
      </w:r>
      <w:r w:rsidR="00AF01E5" w:rsidRPr="00F8213F">
        <w:rPr>
          <w:rFonts w:eastAsiaTheme="minorEastAsia"/>
          <w:color w:val="4472C4" w:themeColor="accent1"/>
        </w:rPr>
        <w:t>a deadline that indicates when the faculty’s</w:t>
      </w:r>
      <w:r w:rsidRPr="00F8213F">
        <w:rPr>
          <w:rFonts w:eastAsiaTheme="minorEastAsia"/>
          <w:color w:val="4472C4" w:themeColor="accent1"/>
        </w:rPr>
        <w:t xml:space="preserve"> opportunity for input has ended. </w:t>
      </w:r>
      <w:r w:rsidR="00C7544B" w:rsidRPr="00F8213F">
        <w:rPr>
          <w:rFonts w:eastAsiaTheme="minorEastAsia"/>
          <w:color w:val="4472C4" w:themeColor="accent1"/>
        </w:rPr>
        <w:t>The department or unit head may modify scheduled assignments</w:t>
      </w:r>
      <w:r w:rsidR="00AF01E5" w:rsidRPr="00F8213F">
        <w:rPr>
          <w:rFonts w:eastAsiaTheme="minorEastAsia"/>
          <w:color w:val="4472C4" w:themeColor="accent1"/>
        </w:rPr>
        <w:t xml:space="preserve"> after the deadline based on critical needs</w:t>
      </w:r>
      <w:r w:rsidR="00B06752" w:rsidRPr="00F8213F">
        <w:rPr>
          <w:rFonts w:eastAsiaTheme="minorEastAsia"/>
          <w:color w:val="4472C4" w:themeColor="accent1"/>
        </w:rPr>
        <w:t xml:space="preserve"> of the department</w:t>
      </w:r>
      <w:r w:rsidR="00C7544B" w:rsidRPr="00F8213F">
        <w:rPr>
          <w:rFonts w:eastAsiaTheme="minorEastAsia"/>
          <w:color w:val="4472C4" w:themeColor="accent1"/>
        </w:rPr>
        <w:t xml:space="preserve">, provided they discuss changes with the faculty member before they are made and that </w:t>
      </w:r>
      <w:r w:rsidR="00C7544B" w:rsidRPr="00CE7EF9">
        <w:rPr>
          <w:rFonts w:eastAsiaTheme="minorEastAsia"/>
        </w:rPr>
        <w:t xml:space="preserve">changes are not made for arbitrary or capricious reasons. </w:t>
      </w:r>
      <w:r w:rsidR="00995A01" w:rsidRPr="00F8213F">
        <w:rPr>
          <w:rFonts w:eastAsiaTheme="minorEastAsia"/>
          <w:color w:val="4472C4" w:themeColor="accent1"/>
        </w:rPr>
        <w:t>Barring unforeseen emergencies that occur at the last minute, f</w:t>
      </w:r>
      <w:r w:rsidR="00C7544B" w:rsidRPr="00F8213F">
        <w:rPr>
          <w:rFonts w:eastAsiaTheme="minorEastAsia"/>
          <w:color w:val="4472C4" w:themeColor="accent1"/>
        </w:rPr>
        <w:t>aculty members shall be given as much notice as possible</w:t>
      </w:r>
      <w:r w:rsidR="00995A01" w:rsidRPr="00F8213F">
        <w:rPr>
          <w:rFonts w:eastAsiaTheme="minorEastAsia"/>
          <w:color w:val="4472C4" w:themeColor="accent1"/>
        </w:rPr>
        <w:t xml:space="preserve"> ideally in or by the quarter prior to their scheduled assignments</w:t>
      </w:r>
      <w:r w:rsidR="00C7544B" w:rsidRPr="00F8213F">
        <w:rPr>
          <w:rFonts w:eastAsiaTheme="minorEastAsia"/>
          <w:color w:val="4472C4" w:themeColor="accent1"/>
        </w:rPr>
        <w:t xml:space="preserve"> about potential changes to their scheduled assignments.</w:t>
      </w:r>
    </w:p>
    <w:p w14:paraId="249A84D8" w14:textId="2C170464" w:rsidR="00F94CD2" w:rsidRPr="00660877" w:rsidRDefault="00685FCE" w:rsidP="00660877">
      <w:pPr>
        <w:pStyle w:val="ListParagraph"/>
        <w:spacing w:after="240"/>
        <w:contextualSpacing w:val="0"/>
        <w:rPr>
          <w:rFonts w:eastAsiaTheme="minorEastAsia"/>
        </w:rPr>
      </w:pPr>
      <w:r w:rsidRPr="24C209F9">
        <w:rPr>
          <w:rFonts w:eastAsiaTheme="minorEastAsia"/>
        </w:rPr>
        <w:t>F</w:t>
      </w:r>
      <w:r w:rsidR="00C7544B" w:rsidRPr="24C209F9">
        <w:rPr>
          <w:rFonts w:eastAsiaTheme="minorEastAsia"/>
        </w:rPr>
        <w:t xml:space="preserve">aculty members may request </w:t>
      </w:r>
      <w:del w:id="5" w:author="Office of the Provost" w:date="2026-01-07T13:43:00Z" w16du:dateUtc="2026-01-07T21:43:00Z">
        <w:r w:rsidR="00C7544B" w:rsidRPr="24C209F9" w:rsidDel="00BC52CE">
          <w:rPr>
            <w:rFonts w:eastAsiaTheme="minorEastAsia"/>
          </w:rPr>
          <w:delText xml:space="preserve">to </w:delText>
        </w:r>
      </w:del>
      <w:r w:rsidR="00C7544B" w:rsidRPr="24C209F9">
        <w:rPr>
          <w:rFonts w:eastAsiaTheme="minorEastAsia"/>
        </w:rPr>
        <w:t>adjust</w:t>
      </w:r>
      <w:ins w:id="6" w:author="Office of the Provost" w:date="2026-01-07T13:43:00Z" w16du:dateUtc="2026-01-07T21:43:00Z">
        <w:r w:rsidR="00BC52CE">
          <w:rPr>
            <w:rFonts w:eastAsiaTheme="minorEastAsia"/>
          </w:rPr>
          <w:t>ments to</w:t>
        </w:r>
      </w:ins>
      <w:r w:rsidR="00C7544B" w:rsidRPr="24C209F9">
        <w:rPr>
          <w:rFonts w:eastAsiaTheme="minorEastAsia"/>
        </w:rPr>
        <w:t xml:space="preserve"> schedules or assignments</w:t>
      </w:r>
      <w:r w:rsidR="00F94CD2">
        <w:rPr>
          <w:rFonts w:eastAsiaTheme="minorEastAsia"/>
        </w:rPr>
        <w:t>.</w:t>
      </w:r>
    </w:p>
    <w:p w14:paraId="712D9F13" w14:textId="0E99764F" w:rsidR="00C7544B" w:rsidRPr="00660877" w:rsidRDefault="00F94CD2" w:rsidP="00660877">
      <w:pPr>
        <w:pStyle w:val="ListParagraph"/>
        <w:spacing w:after="240"/>
        <w:contextualSpacing w:val="0"/>
        <w:rPr>
          <w:rFonts w:eastAsiaTheme="minorEastAsia"/>
        </w:rPr>
      </w:pPr>
      <w:r w:rsidRPr="50CCE318">
        <w:rPr>
          <w:rFonts w:eastAsiaTheme="minorEastAsia"/>
          <w:color w:val="4472C4" w:themeColor="accent1"/>
        </w:rPr>
        <w:t xml:space="preserve">This policy primarily applies to </w:t>
      </w:r>
      <w:r w:rsidR="00B53158" w:rsidRPr="50CCE318">
        <w:rPr>
          <w:rFonts w:eastAsiaTheme="minorEastAsia"/>
          <w:color w:val="4472C4" w:themeColor="accent1"/>
        </w:rPr>
        <w:t xml:space="preserve">core instructional </w:t>
      </w:r>
      <w:r w:rsidRPr="50CCE318">
        <w:rPr>
          <w:rFonts w:eastAsiaTheme="minorEastAsia"/>
          <w:color w:val="4472C4" w:themeColor="accent1"/>
        </w:rPr>
        <w:t xml:space="preserve">faculty who are typically assigned instructional responsibilities. </w:t>
      </w:r>
      <w:r w:rsidR="00D71A9B" w:rsidRPr="50CCE318">
        <w:rPr>
          <w:rFonts w:eastAsiaTheme="minorEastAsia"/>
          <w:color w:val="4472C4" w:themeColor="accent1"/>
        </w:rPr>
        <w:t xml:space="preserve">This includes </w:t>
      </w:r>
      <w:r w:rsidRPr="50CCE318">
        <w:rPr>
          <w:rFonts w:eastAsiaTheme="minorEastAsia"/>
          <w:color w:val="4472C4" w:themeColor="accent1"/>
        </w:rPr>
        <w:t>Tenure Track Faculty (TTF), Career Instructional Faculty (CIF)</w:t>
      </w:r>
      <w:r w:rsidR="007063BF" w:rsidRPr="50CCE318">
        <w:rPr>
          <w:rFonts w:eastAsiaTheme="minorEastAsia"/>
          <w:color w:val="4472C4" w:themeColor="accent1"/>
        </w:rPr>
        <w:t xml:space="preserve">, </w:t>
      </w:r>
      <w:r w:rsidR="00091528" w:rsidRPr="50CCE318">
        <w:rPr>
          <w:rFonts w:eastAsiaTheme="minorEastAsia"/>
          <w:color w:val="4472C4" w:themeColor="accent1"/>
        </w:rPr>
        <w:t xml:space="preserve">which </w:t>
      </w:r>
      <w:r w:rsidR="007063BF" w:rsidRPr="50CCE318">
        <w:rPr>
          <w:rFonts w:eastAsiaTheme="minorEastAsia"/>
          <w:color w:val="4472C4" w:themeColor="accent1"/>
        </w:rPr>
        <w:t xml:space="preserve">consists of </w:t>
      </w:r>
      <w:r w:rsidR="00091528" w:rsidRPr="50CCE318">
        <w:rPr>
          <w:rFonts w:eastAsiaTheme="minorEastAsia"/>
          <w:color w:val="4472C4" w:themeColor="accent1"/>
        </w:rPr>
        <w:t>instructor, lecturer, and clinical professor classifications, and faculty serving as university supervisors</w:t>
      </w:r>
      <w:r w:rsidR="007063BF" w:rsidRPr="50CCE318">
        <w:rPr>
          <w:rFonts w:eastAsiaTheme="minorEastAsia"/>
          <w:color w:val="4472C4" w:themeColor="accent1"/>
        </w:rPr>
        <w:t>. It also includes</w:t>
      </w:r>
      <w:r w:rsidRPr="50CCE318">
        <w:rPr>
          <w:rFonts w:eastAsiaTheme="minorEastAsia"/>
          <w:color w:val="4472C4" w:themeColor="accent1"/>
        </w:rPr>
        <w:t xml:space="preserve"> pro</w:t>
      </w:r>
      <w:r w:rsidR="00B9310B" w:rsidRPr="50CCE318">
        <w:rPr>
          <w:rFonts w:eastAsiaTheme="minorEastAsia"/>
          <w:color w:val="4472C4" w:themeColor="accent1"/>
        </w:rPr>
        <w:t>-</w:t>
      </w:r>
      <w:proofErr w:type="spellStart"/>
      <w:r w:rsidRPr="50CCE318">
        <w:rPr>
          <w:rFonts w:eastAsiaTheme="minorEastAsia"/>
          <w:color w:val="4472C4" w:themeColor="accent1"/>
        </w:rPr>
        <w:t>tem</w:t>
      </w:r>
      <w:proofErr w:type="spellEnd"/>
      <w:r w:rsidRPr="50CCE318">
        <w:rPr>
          <w:rFonts w:eastAsiaTheme="minorEastAsia"/>
          <w:color w:val="4472C4" w:themeColor="accent1"/>
        </w:rPr>
        <w:t xml:space="preserve"> faculty with </w:t>
      </w:r>
      <w:r w:rsidR="00E62505" w:rsidRPr="50CCE318">
        <w:rPr>
          <w:rFonts w:eastAsiaTheme="minorEastAsia"/>
          <w:color w:val="4472C4" w:themeColor="accent1"/>
        </w:rPr>
        <w:t>at least</w:t>
      </w:r>
      <w:r w:rsidRPr="50CCE318">
        <w:rPr>
          <w:rFonts w:eastAsiaTheme="minorEastAsia"/>
          <w:color w:val="4472C4" w:themeColor="accent1"/>
        </w:rPr>
        <w:t xml:space="preserve"> .5 FTE. Where necessary</w:t>
      </w:r>
      <w:r w:rsidR="00B9310B" w:rsidRPr="50CCE318">
        <w:rPr>
          <w:rFonts w:eastAsiaTheme="minorEastAsia"/>
          <w:color w:val="4472C4" w:themeColor="accent1"/>
        </w:rPr>
        <w:t>,</w:t>
      </w:r>
      <w:r w:rsidRPr="50CCE318">
        <w:rPr>
          <w:rFonts w:eastAsiaTheme="minorEastAsia"/>
          <w:color w:val="4472C4" w:themeColor="accent1"/>
        </w:rPr>
        <w:t xml:space="preserve"> other faculty roles are called out. Career Research Faculty (CRF) who are regularly assigned instructional </w:t>
      </w:r>
      <w:proofErr w:type="gramStart"/>
      <w:r w:rsidRPr="50CCE318">
        <w:rPr>
          <w:rFonts w:eastAsiaTheme="minorEastAsia"/>
          <w:color w:val="4472C4" w:themeColor="accent1"/>
        </w:rPr>
        <w:t>responsibilities</w:t>
      </w:r>
      <w:proofErr w:type="gramEnd"/>
      <w:r w:rsidR="00B53158" w:rsidRPr="50CCE318">
        <w:rPr>
          <w:rFonts w:eastAsiaTheme="minorEastAsia"/>
          <w:color w:val="4472C4" w:themeColor="accent1"/>
        </w:rPr>
        <w:t xml:space="preserve"> but who are not housed in an academic department </w:t>
      </w:r>
      <w:r w:rsidRPr="50CCE318">
        <w:rPr>
          <w:rFonts w:eastAsiaTheme="minorEastAsia"/>
          <w:color w:val="4472C4" w:themeColor="accent1"/>
        </w:rPr>
        <w:t xml:space="preserve">may have different </w:t>
      </w:r>
      <w:r w:rsidR="00B53158" w:rsidRPr="50CCE318">
        <w:rPr>
          <w:rFonts w:eastAsiaTheme="minorEastAsia"/>
          <w:color w:val="4472C4" w:themeColor="accent1"/>
        </w:rPr>
        <w:t xml:space="preserve">workload expectations overall than their academic counterparts and so may require alternative </w:t>
      </w:r>
      <w:r w:rsidRPr="50CCE318">
        <w:rPr>
          <w:rFonts w:eastAsiaTheme="minorEastAsia"/>
          <w:color w:val="4472C4" w:themeColor="accent1"/>
        </w:rPr>
        <w:t>process</w:t>
      </w:r>
      <w:r w:rsidR="00B53158" w:rsidRPr="50CCE318">
        <w:rPr>
          <w:rFonts w:eastAsiaTheme="minorEastAsia"/>
          <w:color w:val="4472C4" w:themeColor="accent1"/>
        </w:rPr>
        <w:t>es based on the</w:t>
      </w:r>
      <w:r w:rsidR="00FA68CF" w:rsidRPr="50CCE318">
        <w:rPr>
          <w:rFonts w:eastAsiaTheme="minorEastAsia"/>
          <w:color w:val="4472C4" w:themeColor="accent1"/>
        </w:rPr>
        <w:t xml:space="preserve"> needs dictated by the given</w:t>
      </w:r>
      <w:r w:rsidR="00B53158" w:rsidRPr="50CCE318">
        <w:rPr>
          <w:rFonts w:eastAsiaTheme="minorEastAsia"/>
          <w:color w:val="4472C4" w:themeColor="accent1"/>
        </w:rPr>
        <w:t xml:space="preserve"> </w:t>
      </w:r>
      <w:r w:rsidR="00804DDC" w:rsidRPr="50CCE318">
        <w:rPr>
          <w:rFonts w:eastAsiaTheme="minorEastAsia"/>
          <w:color w:val="4472C4" w:themeColor="accent1"/>
        </w:rPr>
        <w:t>situation. H</w:t>
      </w:r>
      <w:r w:rsidRPr="50CCE318">
        <w:rPr>
          <w:rFonts w:eastAsiaTheme="minorEastAsia"/>
          <w:color w:val="4472C4" w:themeColor="accent1"/>
        </w:rPr>
        <w:t>owever,</w:t>
      </w:r>
      <w:r w:rsidR="00804DDC" w:rsidRPr="50CCE318">
        <w:rPr>
          <w:rFonts w:eastAsiaTheme="minorEastAsia"/>
          <w:color w:val="4472C4" w:themeColor="accent1"/>
        </w:rPr>
        <w:t xml:space="preserve"> the</w:t>
      </w:r>
      <w:r w:rsidRPr="50CCE318">
        <w:rPr>
          <w:rFonts w:eastAsiaTheme="minorEastAsia"/>
          <w:color w:val="4472C4" w:themeColor="accent1"/>
        </w:rPr>
        <w:t xml:space="preserve"> </w:t>
      </w:r>
      <w:r w:rsidR="00B066D3" w:rsidRPr="50CCE318">
        <w:rPr>
          <w:rFonts w:eastAsiaTheme="minorEastAsia"/>
          <w:color w:val="4472C4" w:themeColor="accent1"/>
        </w:rPr>
        <w:t xml:space="preserve">teaching, </w:t>
      </w:r>
      <w:r w:rsidRPr="50CCE318">
        <w:rPr>
          <w:rFonts w:eastAsiaTheme="minorEastAsia"/>
          <w:color w:val="4472C4" w:themeColor="accent1"/>
        </w:rPr>
        <w:t xml:space="preserve">advising, student contact, and other </w:t>
      </w:r>
      <w:r w:rsidR="00B066D3" w:rsidRPr="50CCE318">
        <w:rPr>
          <w:rFonts w:eastAsiaTheme="minorEastAsia"/>
          <w:color w:val="4472C4" w:themeColor="accent1"/>
        </w:rPr>
        <w:t xml:space="preserve">content and/or </w:t>
      </w:r>
      <w:r w:rsidRPr="50CCE318">
        <w:rPr>
          <w:rFonts w:eastAsiaTheme="minorEastAsia"/>
          <w:color w:val="4472C4" w:themeColor="accent1"/>
        </w:rPr>
        <w:t>pedagogical expectations outlined in this policy apply</w:t>
      </w:r>
      <w:r w:rsidR="00804DDC" w:rsidRPr="50CCE318">
        <w:rPr>
          <w:rFonts w:eastAsiaTheme="minorEastAsia"/>
          <w:color w:val="4472C4" w:themeColor="accent1"/>
        </w:rPr>
        <w:t xml:space="preserve"> to any faculty </w:t>
      </w:r>
      <w:r w:rsidR="00FA68CF" w:rsidRPr="50CCE318">
        <w:rPr>
          <w:rFonts w:eastAsiaTheme="minorEastAsia"/>
          <w:color w:val="4472C4" w:themeColor="accent1"/>
        </w:rPr>
        <w:t xml:space="preserve">members </w:t>
      </w:r>
      <w:r w:rsidR="00804DDC" w:rsidRPr="50CCE318">
        <w:rPr>
          <w:rFonts w:eastAsiaTheme="minorEastAsia"/>
          <w:color w:val="4472C4" w:themeColor="accent1"/>
        </w:rPr>
        <w:t xml:space="preserve">who </w:t>
      </w:r>
      <w:r w:rsidR="00D04397" w:rsidRPr="50CCE318">
        <w:rPr>
          <w:rFonts w:eastAsiaTheme="minorEastAsia"/>
          <w:color w:val="4472C4" w:themeColor="accent1"/>
        </w:rPr>
        <w:t>are given</w:t>
      </w:r>
      <w:r w:rsidR="00B06752" w:rsidRPr="50CCE318">
        <w:rPr>
          <w:rFonts w:eastAsiaTheme="minorEastAsia"/>
          <w:color w:val="4472C4" w:themeColor="accent1"/>
        </w:rPr>
        <w:t xml:space="preserve"> instructional assignments</w:t>
      </w:r>
      <w:r w:rsidR="00804DDC" w:rsidRPr="50CCE318">
        <w:rPr>
          <w:rFonts w:eastAsiaTheme="minorEastAsia"/>
          <w:color w:val="4472C4" w:themeColor="accent1"/>
        </w:rPr>
        <w:t xml:space="preserve"> in the COE</w:t>
      </w:r>
      <w:r w:rsidRPr="50CCE318">
        <w:rPr>
          <w:rFonts w:eastAsiaTheme="minorEastAsia"/>
          <w:color w:val="4472C4" w:themeColor="accent1"/>
        </w:rPr>
        <w:t>.</w:t>
      </w:r>
      <w:r w:rsidRPr="50CCE318">
        <w:rPr>
          <w:rFonts w:eastAsiaTheme="minorEastAsia"/>
        </w:rPr>
        <w:t xml:space="preserve"> </w:t>
      </w:r>
    </w:p>
    <w:p w14:paraId="3ABCFB98" w14:textId="78C3272B" w:rsidR="00DC48C0" w:rsidRPr="00660877" w:rsidRDefault="00C7544B" w:rsidP="00660877">
      <w:pPr>
        <w:pStyle w:val="ListParagraph"/>
        <w:spacing w:after="240"/>
        <w:contextualSpacing w:val="0"/>
        <w:rPr>
          <w:rFonts w:eastAsiaTheme="minorEastAsia"/>
        </w:rPr>
      </w:pPr>
      <w:r w:rsidRPr="6D35B733">
        <w:rPr>
          <w:rFonts w:eastAsiaTheme="minorEastAsia"/>
        </w:rPr>
        <w:t>Each faculty member must be fully engaged in teaching, research</w:t>
      </w:r>
      <w:r w:rsidR="02BFD1E4" w:rsidRPr="6D35B733">
        <w:rPr>
          <w:rFonts w:eastAsiaTheme="minorEastAsia"/>
        </w:rPr>
        <w:t xml:space="preserve">, </w:t>
      </w:r>
      <w:r w:rsidRPr="6D35B733">
        <w:rPr>
          <w:rFonts w:eastAsiaTheme="minorEastAsia"/>
        </w:rPr>
        <w:t xml:space="preserve">and service work for the university to the extent of their </w:t>
      </w:r>
      <w:r w:rsidR="005E14EA" w:rsidRPr="6D35B733">
        <w:rPr>
          <w:rFonts w:eastAsiaTheme="minorEastAsia"/>
        </w:rPr>
        <w:t>appointment and</w:t>
      </w:r>
      <w:r w:rsidRPr="6D35B733">
        <w:rPr>
          <w:rFonts w:eastAsiaTheme="minorEastAsia"/>
        </w:rPr>
        <w:t xml:space="preserve"> must be engaged in work or reasonably available for work for the entirety of the term for which the faculty member is employed unless on approved leave.</w:t>
      </w:r>
      <w:ins w:id="7" w:author="Office of the Provost" w:date="2026-01-07T13:43:00Z" w16du:dateUtc="2026-01-07T21:43:00Z">
        <w:r w:rsidR="00F47FE5">
          <w:rPr>
            <w:rFonts w:eastAsiaTheme="minorEastAsia"/>
          </w:rPr>
          <w:t xml:space="preserve"> </w:t>
        </w:r>
        <w:r w:rsidR="00F47FE5">
          <w:t>Should a Career or Limited Duration faculty member choose not to engage in service work outside of their appointment period, their reviews will not be negatively impacted.</w:t>
        </w:r>
      </w:ins>
    </w:p>
    <w:p w14:paraId="539E092F" w14:textId="77777777" w:rsidR="00DC48C0" w:rsidRPr="005A77CB" w:rsidRDefault="00DC48C0" w:rsidP="005A77CB">
      <w:pPr>
        <w:pStyle w:val="Heading3"/>
      </w:pPr>
      <w:r w:rsidRPr="005A77CB">
        <w:t>Accounting for Individual Faculty Needs</w:t>
      </w:r>
    </w:p>
    <w:p w14:paraId="1A664CC7" w14:textId="33EBDFC0" w:rsidR="00DC48C0" w:rsidRPr="005A77CB" w:rsidRDefault="00DC48C0" w:rsidP="005A77CB">
      <w:pPr>
        <w:pStyle w:val="ListParagraph"/>
        <w:spacing w:after="240"/>
        <w:ind w:left="1224"/>
        <w:contextualSpacing w:val="0"/>
        <w:rPr>
          <w:rFonts w:eastAsiaTheme="minorEastAsia"/>
          <w:b/>
          <w:bCs/>
        </w:rPr>
      </w:pPr>
      <w:r w:rsidRPr="24C209F9">
        <w:rPr>
          <w:rFonts w:eastAsiaTheme="minorEastAsia"/>
        </w:rPr>
        <w:t>When assigning workload, the unit will account for individual faculty needs by the process described below. Factors to be considered include but are not limited to the following:</w:t>
      </w:r>
    </w:p>
    <w:p w14:paraId="619C200B" w14:textId="77777777" w:rsidR="00DC48C0" w:rsidRDefault="00DC48C0" w:rsidP="005A77CB">
      <w:pPr>
        <w:pStyle w:val="ListParagraph"/>
        <w:numPr>
          <w:ilvl w:val="0"/>
          <w:numId w:val="42"/>
        </w:numPr>
        <w:contextualSpacing w:val="0"/>
        <w:rPr>
          <w:rFonts w:eastAsiaTheme="minorEastAsia"/>
        </w:rPr>
      </w:pPr>
      <w:r w:rsidRPr="46F71FDA">
        <w:rPr>
          <w:rFonts w:eastAsiaTheme="minorEastAsia"/>
        </w:rPr>
        <w:lastRenderedPageBreak/>
        <w:t>New course preparations</w:t>
      </w:r>
    </w:p>
    <w:p w14:paraId="3D863737" w14:textId="77777777" w:rsidR="00DC48C0" w:rsidRDefault="00DC48C0" w:rsidP="005A77CB">
      <w:pPr>
        <w:pStyle w:val="ListParagraph"/>
        <w:numPr>
          <w:ilvl w:val="0"/>
          <w:numId w:val="42"/>
        </w:numPr>
        <w:contextualSpacing w:val="0"/>
        <w:rPr>
          <w:rFonts w:eastAsiaTheme="minorEastAsia"/>
        </w:rPr>
      </w:pPr>
      <w:r w:rsidRPr="24C209F9">
        <w:rPr>
          <w:rFonts w:eastAsiaTheme="minorEastAsia"/>
        </w:rPr>
        <w:t>Balance of workload components based on faculty review, promotion, and tenure, professional development expectations and agenda for research, scholarship, and creative activity</w:t>
      </w:r>
    </w:p>
    <w:p w14:paraId="6100FE10" w14:textId="77777777" w:rsidR="00DC48C0" w:rsidRDefault="00DC48C0" w:rsidP="005A77CB">
      <w:pPr>
        <w:pStyle w:val="ListParagraph"/>
        <w:numPr>
          <w:ilvl w:val="0"/>
          <w:numId w:val="42"/>
        </w:numPr>
        <w:contextualSpacing w:val="0"/>
        <w:rPr>
          <w:rFonts w:eastAsiaTheme="minorEastAsia"/>
        </w:rPr>
      </w:pPr>
      <w:r w:rsidRPr="24C209F9">
        <w:rPr>
          <w:rFonts w:eastAsiaTheme="minorEastAsia"/>
        </w:rPr>
        <w:t>Administrative duties</w:t>
      </w:r>
    </w:p>
    <w:p w14:paraId="7E1F97C8" w14:textId="77777777" w:rsidR="00DC48C0" w:rsidRDefault="00DC48C0" w:rsidP="005A77CB">
      <w:pPr>
        <w:pStyle w:val="ListParagraph"/>
        <w:numPr>
          <w:ilvl w:val="0"/>
          <w:numId w:val="42"/>
        </w:numPr>
        <w:contextualSpacing w:val="0"/>
        <w:rPr>
          <w:rFonts w:eastAsiaTheme="minorEastAsia"/>
        </w:rPr>
      </w:pPr>
      <w:r w:rsidRPr="24C209F9">
        <w:rPr>
          <w:rFonts w:eastAsiaTheme="minorEastAsia"/>
        </w:rPr>
        <w:t>Caregiving responsibilities at the request of the faculty member</w:t>
      </w:r>
    </w:p>
    <w:p w14:paraId="1D0ECA0C" w14:textId="77777777" w:rsidR="00DC48C0" w:rsidRDefault="00DC48C0" w:rsidP="005A77CB">
      <w:pPr>
        <w:pStyle w:val="ListParagraph"/>
        <w:numPr>
          <w:ilvl w:val="0"/>
          <w:numId w:val="42"/>
        </w:numPr>
        <w:contextualSpacing w:val="0"/>
        <w:rPr>
          <w:rFonts w:eastAsiaTheme="minorEastAsia"/>
        </w:rPr>
      </w:pPr>
      <w:r w:rsidRPr="24C209F9">
        <w:rPr>
          <w:rFonts w:eastAsiaTheme="minorEastAsia"/>
        </w:rPr>
        <w:t>Timing of activities (e.g., publication and grant deadlines, course load in given terms, and promotion review dates)</w:t>
      </w:r>
    </w:p>
    <w:p w14:paraId="5FB368F1" w14:textId="03C22275" w:rsidR="00B9310B" w:rsidRPr="005A77CB" w:rsidRDefault="00D774DD" w:rsidP="005A77CB">
      <w:pPr>
        <w:pStyle w:val="ListParagraph"/>
        <w:numPr>
          <w:ilvl w:val="0"/>
          <w:numId w:val="42"/>
        </w:numPr>
        <w:spacing w:after="240"/>
        <w:contextualSpacing w:val="0"/>
        <w:rPr>
          <w:rFonts w:eastAsiaTheme="minorEastAsia"/>
        </w:rPr>
      </w:pPr>
      <w:r>
        <w:rPr>
          <w:rFonts w:eastAsiaTheme="minorEastAsia"/>
        </w:rPr>
        <w:t>Position</w:t>
      </w:r>
      <w:r w:rsidRPr="24C209F9">
        <w:rPr>
          <w:rFonts w:eastAsiaTheme="minorEastAsia"/>
        </w:rPr>
        <w:t xml:space="preserve"> </w:t>
      </w:r>
      <w:r w:rsidR="00DC48C0" w:rsidRPr="24C209F9">
        <w:rPr>
          <w:rFonts w:eastAsiaTheme="minorEastAsia"/>
        </w:rPr>
        <w:t>description</w:t>
      </w:r>
    </w:p>
    <w:p w14:paraId="02BC16BC" w14:textId="6AC4F6C0" w:rsidR="00DC48C0" w:rsidRPr="00A35DFB" w:rsidRDefault="385F7898" w:rsidP="005A77CB">
      <w:pPr>
        <w:spacing w:after="240"/>
        <w:ind w:left="1260"/>
        <w:rPr>
          <w:rFonts w:eastAsiaTheme="minorEastAsia"/>
          <w:color w:val="4472C4" w:themeColor="accent1"/>
        </w:rPr>
      </w:pPr>
      <w:r w:rsidRPr="00A35DFB">
        <w:rPr>
          <w:rFonts w:eastAsiaTheme="minorEastAsia"/>
          <w:color w:val="4472C4" w:themeColor="accent1"/>
        </w:rPr>
        <w:t xml:space="preserve">In the </w:t>
      </w:r>
      <w:r w:rsidR="00F94CD2" w:rsidRPr="00A35DFB">
        <w:rPr>
          <w:rFonts w:eastAsiaTheme="minorEastAsia"/>
          <w:color w:val="4472C4" w:themeColor="accent1"/>
        </w:rPr>
        <w:t xml:space="preserve">Winter and Spring </w:t>
      </w:r>
      <w:r w:rsidRPr="00A35DFB">
        <w:rPr>
          <w:rFonts w:eastAsiaTheme="minorEastAsia"/>
          <w:color w:val="4472C4" w:themeColor="accent1"/>
        </w:rPr>
        <w:t xml:space="preserve">prior to the next academic year, all </w:t>
      </w:r>
      <w:r w:rsidR="00615586" w:rsidRPr="00A35DFB">
        <w:rPr>
          <w:rFonts w:eastAsiaTheme="minorEastAsia"/>
          <w:color w:val="4472C4" w:themeColor="accent1"/>
        </w:rPr>
        <w:t xml:space="preserve">core instructional </w:t>
      </w:r>
      <w:r w:rsidRPr="00A35DFB">
        <w:rPr>
          <w:rFonts w:eastAsiaTheme="minorEastAsia"/>
          <w:color w:val="4472C4" w:themeColor="accent1"/>
        </w:rPr>
        <w:t>faculty members</w:t>
      </w:r>
      <w:r w:rsidR="00476B15" w:rsidRPr="00A35DFB">
        <w:rPr>
          <w:rFonts w:eastAsiaTheme="minorEastAsia"/>
          <w:color w:val="4472C4" w:themeColor="accent1"/>
        </w:rPr>
        <w:t xml:space="preserve"> </w:t>
      </w:r>
      <w:r w:rsidRPr="00A35DFB">
        <w:rPr>
          <w:rFonts w:eastAsiaTheme="minorEastAsia"/>
          <w:color w:val="4472C4" w:themeColor="accent1"/>
        </w:rPr>
        <w:t>in COE academic units will</w:t>
      </w:r>
      <w:r w:rsidR="00615586" w:rsidRPr="00A35DFB">
        <w:rPr>
          <w:rFonts w:eastAsiaTheme="minorEastAsia"/>
          <w:color w:val="4472C4" w:themeColor="accent1"/>
        </w:rPr>
        <w:t xml:space="preserve"> be invited to</w:t>
      </w:r>
      <w:r w:rsidRPr="00A35DFB">
        <w:rPr>
          <w:rFonts w:eastAsiaTheme="minorEastAsia"/>
          <w:color w:val="4472C4" w:themeColor="accent1"/>
        </w:rPr>
        <w:t xml:space="preserve"> submit their anticipated instructional, research, and service activities to their respective department heads using a consistent </w:t>
      </w:r>
      <w:r w:rsidRPr="00F1132A">
        <w:rPr>
          <w:rFonts w:eastAsiaTheme="minorEastAsia"/>
          <w:color w:val="4472C4" w:themeColor="accent1"/>
        </w:rPr>
        <w:t>template.</w:t>
      </w:r>
      <w:r w:rsidRPr="00A35DFB">
        <w:rPr>
          <w:rFonts w:eastAsiaTheme="minorEastAsia"/>
          <w:color w:val="4472C4" w:themeColor="accent1"/>
        </w:rPr>
        <w:t xml:space="preserve"> </w:t>
      </w:r>
      <w:r w:rsidR="00A507BB" w:rsidRPr="00A35DFB">
        <w:rPr>
          <w:rFonts w:eastAsiaTheme="minorEastAsia"/>
          <w:color w:val="4472C4" w:themeColor="accent1"/>
        </w:rPr>
        <w:t>Internal t</w:t>
      </w:r>
      <w:r w:rsidR="00526AB1" w:rsidRPr="00A35DFB">
        <w:rPr>
          <w:rFonts w:eastAsiaTheme="minorEastAsia"/>
          <w:color w:val="4472C4" w:themeColor="accent1"/>
        </w:rPr>
        <w:t xml:space="preserve">imelines for this activity will include a final deadline for submission and changes. </w:t>
      </w:r>
      <w:r w:rsidRPr="00A35DFB">
        <w:rPr>
          <w:rFonts w:eastAsiaTheme="minorEastAsia"/>
          <w:color w:val="4472C4" w:themeColor="accent1"/>
        </w:rPr>
        <w:t>Submitted workload activities will include any specific considerations and/or preferences that the faculty member would like the Department to be aware of for</w:t>
      </w:r>
      <w:r w:rsidR="00412558" w:rsidRPr="00A35DFB">
        <w:rPr>
          <w:rFonts w:eastAsiaTheme="minorEastAsia"/>
          <w:color w:val="4472C4" w:themeColor="accent1"/>
        </w:rPr>
        <w:t xml:space="preserve"> </w:t>
      </w:r>
      <w:r w:rsidRPr="00A35DFB">
        <w:rPr>
          <w:rFonts w:eastAsiaTheme="minorEastAsia"/>
          <w:color w:val="4472C4" w:themeColor="accent1"/>
        </w:rPr>
        <w:t xml:space="preserve">the upcoming year, along with any internal or external activities that may require a workload that deviates from the standard workload of the department. Department heads will consider this information and work with </w:t>
      </w:r>
      <w:r w:rsidR="00FD76A7" w:rsidRPr="00A35DFB">
        <w:rPr>
          <w:rFonts w:eastAsiaTheme="minorEastAsia"/>
          <w:color w:val="4472C4" w:themeColor="accent1"/>
        </w:rPr>
        <w:t xml:space="preserve">the </w:t>
      </w:r>
      <w:r w:rsidRPr="00A35DFB">
        <w:rPr>
          <w:rFonts w:eastAsiaTheme="minorEastAsia"/>
          <w:color w:val="4472C4" w:themeColor="accent1"/>
        </w:rPr>
        <w:t>faculty</w:t>
      </w:r>
      <w:r w:rsidR="00FD76A7" w:rsidRPr="00A35DFB">
        <w:rPr>
          <w:rFonts w:eastAsiaTheme="minorEastAsia"/>
          <w:color w:val="4472C4" w:themeColor="accent1"/>
        </w:rPr>
        <w:t xml:space="preserve"> member</w:t>
      </w:r>
      <w:r w:rsidRPr="00A35DFB">
        <w:rPr>
          <w:rFonts w:eastAsiaTheme="minorEastAsia"/>
          <w:color w:val="4472C4" w:themeColor="accent1"/>
        </w:rPr>
        <w:t xml:space="preserve"> to revisit and revise anticipated workloads as they create instructional assignments that work across all department/program faculty. </w:t>
      </w:r>
      <w:r w:rsidR="00FD76A7" w:rsidRPr="00A35DFB">
        <w:rPr>
          <w:rFonts w:eastAsiaTheme="minorEastAsia"/>
          <w:color w:val="4472C4" w:themeColor="accent1"/>
        </w:rPr>
        <w:t>Department heads may consult with program directors as part of their decision</w:t>
      </w:r>
      <w:r w:rsidR="00D71A9B" w:rsidRPr="00A35DFB">
        <w:rPr>
          <w:rFonts w:eastAsiaTheme="minorEastAsia"/>
          <w:color w:val="4472C4" w:themeColor="accent1"/>
        </w:rPr>
        <w:t xml:space="preserve"> </w:t>
      </w:r>
      <w:r w:rsidR="00FD76A7" w:rsidRPr="00A35DFB">
        <w:rPr>
          <w:rFonts w:eastAsiaTheme="minorEastAsia"/>
          <w:color w:val="4472C4" w:themeColor="accent1"/>
        </w:rPr>
        <w:t xml:space="preserve">making. </w:t>
      </w:r>
      <w:r w:rsidRPr="00A35DFB">
        <w:rPr>
          <w:rFonts w:eastAsiaTheme="minorEastAsia"/>
          <w:color w:val="4472C4" w:themeColor="accent1"/>
        </w:rPr>
        <w:t>Consistent with the guidelines in the CBA, when assigning professional responsibilities, in each assignment, department heads will also consider and be prepared to transparently share the influence of items such as:</w:t>
      </w:r>
    </w:p>
    <w:p w14:paraId="3AB6FB57" w14:textId="647A8FD0" w:rsidR="00DC48C0" w:rsidRPr="00A35DFB" w:rsidRDefault="385F7898" w:rsidP="004A4D00">
      <w:pPr>
        <w:pStyle w:val="BodyA"/>
        <w:numPr>
          <w:ilvl w:val="0"/>
          <w:numId w:val="2"/>
        </w:numPr>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Instruction, research, and service needs of the College, Department, and/or Research Unit</w:t>
      </w:r>
    </w:p>
    <w:p w14:paraId="6B64C69B" w14:textId="698BC770" w:rsidR="00DC48C0" w:rsidRPr="00A35DFB" w:rsidRDefault="385F7898" w:rsidP="004A4D00">
      <w:pPr>
        <w:pStyle w:val="BodyA"/>
        <w:numPr>
          <w:ilvl w:val="0"/>
          <w:numId w:val="2"/>
        </w:numPr>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Equity of faculty assignments in terms of the type of class (e.g., practicum/supervision versus regular format classes)</w:t>
      </w:r>
      <w:r w:rsidR="000A4EC4" w:rsidRPr="00A35DFB">
        <w:rPr>
          <w:rFonts w:asciiTheme="minorHAnsi" w:eastAsiaTheme="minorEastAsia" w:hAnsiTheme="minorHAnsi" w:cstheme="minorBidi"/>
          <w:color w:val="4472C4" w:themeColor="accent1"/>
          <w:sz w:val="24"/>
          <w:szCs w:val="24"/>
        </w:rPr>
        <w:t xml:space="preserve">, number of new class preparations, </w:t>
      </w:r>
      <w:r w:rsidRPr="00A35DFB">
        <w:rPr>
          <w:rFonts w:asciiTheme="minorHAnsi" w:eastAsiaTheme="minorEastAsia" w:hAnsiTheme="minorHAnsi" w:cstheme="minorBidi"/>
          <w:color w:val="4472C4" w:themeColor="accent1"/>
          <w:sz w:val="24"/>
          <w:szCs w:val="24"/>
        </w:rPr>
        <w:t>and student enrollment in classes</w:t>
      </w:r>
    </w:p>
    <w:p w14:paraId="19E18536" w14:textId="5D6F1A6B" w:rsidR="00DC48C0" w:rsidRPr="00A35DFB" w:rsidRDefault="385F7898" w:rsidP="004A4D00">
      <w:pPr>
        <w:pStyle w:val="BodyA"/>
        <w:numPr>
          <w:ilvl w:val="0"/>
          <w:numId w:val="2"/>
        </w:numPr>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Faculty members’ qualifications, expertise, or potential to acquire the appropriate expertise</w:t>
      </w:r>
    </w:p>
    <w:p w14:paraId="2B2FAFE7" w14:textId="0589235B" w:rsidR="00DC48C0" w:rsidRPr="00A35DFB" w:rsidRDefault="385F7898" w:rsidP="004A4D00">
      <w:pPr>
        <w:pStyle w:val="BodyA"/>
        <w:numPr>
          <w:ilvl w:val="0"/>
          <w:numId w:val="2"/>
        </w:numPr>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Faculty member’s evolving professional interests</w:t>
      </w:r>
    </w:p>
    <w:p w14:paraId="4B1FE9FD" w14:textId="326EF7F1" w:rsidR="00DC48C0" w:rsidRPr="00A35DFB" w:rsidRDefault="385F7898" w:rsidP="004A4D00">
      <w:pPr>
        <w:pStyle w:val="BodyA"/>
        <w:numPr>
          <w:ilvl w:val="0"/>
          <w:numId w:val="2"/>
        </w:numPr>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Faculty member’s recent performance history (over 2 – 3 years)</w:t>
      </w:r>
    </w:p>
    <w:p w14:paraId="58B5558B" w14:textId="622F88BE" w:rsidR="00DC48C0" w:rsidRPr="00A35DFB" w:rsidRDefault="385F7898" w:rsidP="004A4D00">
      <w:pPr>
        <w:pStyle w:val="BodyA"/>
        <w:numPr>
          <w:ilvl w:val="0"/>
          <w:numId w:val="2"/>
        </w:numPr>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Generally accepted practices in the field</w:t>
      </w:r>
    </w:p>
    <w:p w14:paraId="041649A6" w14:textId="0E967AE4" w:rsidR="00DC48C0" w:rsidRPr="004A4D00" w:rsidRDefault="385F7898" w:rsidP="004A4D00">
      <w:pPr>
        <w:pStyle w:val="BodyA"/>
        <w:numPr>
          <w:ilvl w:val="0"/>
          <w:numId w:val="2"/>
        </w:numPr>
        <w:spacing w:after="240"/>
        <w:ind w:left="1800" w:hanging="270"/>
        <w:rPr>
          <w:rFonts w:asciiTheme="minorHAnsi" w:eastAsiaTheme="minorEastAsia" w:hAnsiTheme="minorHAnsi" w:cstheme="minorBidi"/>
          <w:color w:val="4472C4" w:themeColor="accent1"/>
          <w:sz w:val="24"/>
          <w:szCs w:val="24"/>
        </w:rPr>
      </w:pPr>
      <w:r w:rsidRPr="00A35DFB">
        <w:rPr>
          <w:rFonts w:asciiTheme="minorHAnsi" w:eastAsiaTheme="minorEastAsia" w:hAnsiTheme="minorHAnsi" w:cstheme="minorBidi"/>
          <w:color w:val="4472C4" w:themeColor="accent1"/>
          <w:sz w:val="24"/>
          <w:szCs w:val="24"/>
        </w:rPr>
        <w:t>A realistic balance of duties consistent with criteria for annual review and promotion review</w:t>
      </w:r>
    </w:p>
    <w:p w14:paraId="50718937" w14:textId="7E9BA81B" w:rsidR="006B1DFB" w:rsidRDefault="385F7898" w:rsidP="00DC4946">
      <w:pPr>
        <w:spacing w:after="240"/>
        <w:ind w:left="1260"/>
        <w:rPr>
          <w:rFonts w:eastAsiaTheme="minorEastAsia"/>
          <w:color w:val="4472C4" w:themeColor="accent1"/>
        </w:rPr>
      </w:pPr>
      <w:r w:rsidRPr="50CCE318">
        <w:rPr>
          <w:rFonts w:eastAsiaTheme="minorEastAsia"/>
          <w:color w:val="4472C4" w:themeColor="accent1"/>
        </w:rPr>
        <w:t xml:space="preserve">Each faculty member will be afforded an opportunity to discuss their assigned workload before it is finalized. Faculty workloads that do not reach mutual agreement between department head and faculty </w:t>
      </w:r>
      <w:proofErr w:type="gramStart"/>
      <w:r w:rsidRPr="50CCE318">
        <w:rPr>
          <w:rFonts w:eastAsiaTheme="minorEastAsia"/>
          <w:color w:val="4472C4" w:themeColor="accent1"/>
        </w:rPr>
        <w:t>member,</w:t>
      </w:r>
      <w:proofErr w:type="gramEnd"/>
      <w:r w:rsidRPr="50CCE318">
        <w:rPr>
          <w:rFonts w:eastAsiaTheme="minorEastAsia"/>
          <w:color w:val="4472C4" w:themeColor="accent1"/>
        </w:rPr>
        <w:t xml:space="preserve"> may be brought to an Associate Dean of Academic Affairs, or Assistant Dean of Administration for support in achieving resolution.</w:t>
      </w:r>
    </w:p>
    <w:p w14:paraId="348D2266" w14:textId="77777777" w:rsidR="006B1DFB" w:rsidRDefault="006B1DFB">
      <w:pPr>
        <w:rPr>
          <w:rFonts w:eastAsiaTheme="minorEastAsia"/>
          <w:color w:val="4472C4" w:themeColor="accent1"/>
        </w:rPr>
      </w:pPr>
      <w:r>
        <w:rPr>
          <w:rFonts w:eastAsiaTheme="minorEastAsia"/>
          <w:color w:val="4472C4" w:themeColor="accent1"/>
        </w:rPr>
        <w:br w:type="page"/>
      </w:r>
    </w:p>
    <w:p w14:paraId="6F9D4A56" w14:textId="0EF26B42" w:rsidR="00DC48C0" w:rsidRDefault="000D6C29" w:rsidP="00DC4946">
      <w:pPr>
        <w:pStyle w:val="Heading3"/>
      </w:pPr>
      <w:r>
        <w:lastRenderedPageBreak/>
        <w:t>Course Load</w:t>
      </w:r>
      <w:r w:rsidRPr="24C209F9">
        <w:t xml:space="preserve"> </w:t>
      </w:r>
      <w:r w:rsidR="00DC48C0" w:rsidRPr="24C209F9">
        <w:t>Adjustments</w:t>
      </w:r>
    </w:p>
    <w:p w14:paraId="1085D57A" w14:textId="06F6C575" w:rsidR="00DC48C0" w:rsidRPr="002104BF" w:rsidRDefault="000D6C29" w:rsidP="002104BF">
      <w:pPr>
        <w:pStyle w:val="ListParagraph"/>
        <w:spacing w:after="240"/>
        <w:ind w:left="1260"/>
        <w:contextualSpacing w:val="0"/>
        <w:rPr>
          <w:rFonts w:eastAsiaTheme="minorEastAsia"/>
          <w:b/>
          <w:bCs/>
        </w:rPr>
      </w:pPr>
      <w:r>
        <w:rPr>
          <w:rFonts w:eastAsiaTheme="minorEastAsia"/>
        </w:rPr>
        <w:t>Course loads</w:t>
      </w:r>
      <w:r w:rsidRPr="24C209F9">
        <w:rPr>
          <w:rFonts w:eastAsiaTheme="minorEastAsia"/>
        </w:rPr>
        <w:t xml:space="preserve"> </w:t>
      </w:r>
      <w:r w:rsidR="00DC48C0" w:rsidRPr="24C209F9">
        <w:rPr>
          <w:rFonts w:eastAsiaTheme="minorEastAsia"/>
        </w:rPr>
        <w:t xml:space="preserve">may be adjusted for individual faculty members </w:t>
      </w:r>
      <w:r w:rsidR="00402936">
        <w:rPr>
          <w:rFonts w:eastAsiaTheme="minorEastAsia"/>
        </w:rPr>
        <w:t xml:space="preserve">with approval from the Office of the Provost or </w:t>
      </w:r>
      <w:proofErr w:type="gramStart"/>
      <w:r w:rsidR="00402936">
        <w:rPr>
          <w:rFonts w:eastAsiaTheme="minorEastAsia"/>
        </w:rPr>
        <w:t>designee</w:t>
      </w:r>
      <w:proofErr w:type="gramEnd"/>
      <w:r w:rsidR="00402936">
        <w:rPr>
          <w:rFonts w:eastAsiaTheme="minorEastAsia"/>
        </w:rPr>
        <w:t xml:space="preserve">. </w:t>
      </w:r>
      <w:r w:rsidR="00DC48C0" w:rsidRPr="24C209F9">
        <w:rPr>
          <w:rFonts w:eastAsiaTheme="minorEastAsia"/>
        </w:rPr>
        <w:t xml:space="preserve">The following sections highlight some of the </w:t>
      </w:r>
      <w:r w:rsidR="7C7FCBEC" w:rsidRPr="24C209F9">
        <w:rPr>
          <w:rFonts w:eastAsiaTheme="minorEastAsia"/>
        </w:rPr>
        <w:t xml:space="preserve">typical </w:t>
      </w:r>
      <w:r w:rsidR="00DC48C0" w:rsidRPr="24C209F9">
        <w:rPr>
          <w:rFonts w:eastAsiaTheme="minorEastAsia"/>
        </w:rPr>
        <w:t>reasons for</w:t>
      </w:r>
      <w:r w:rsidR="6CE569C1" w:rsidRPr="24C209F9">
        <w:rPr>
          <w:rFonts w:eastAsiaTheme="minorEastAsia"/>
        </w:rPr>
        <w:t xml:space="preserve"> </w:t>
      </w:r>
      <w:r w:rsidR="00DC48C0" w:rsidRPr="24C209F9">
        <w:rPr>
          <w:rFonts w:eastAsiaTheme="minorEastAsia"/>
        </w:rPr>
        <w:t>adjustments.</w:t>
      </w:r>
    </w:p>
    <w:p w14:paraId="113A0642" w14:textId="5034808A" w:rsidR="00DC48C0" w:rsidRPr="002104BF" w:rsidRDefault="00DC48C0" w:rsidP="002104BF">
      <w:pPr>
        <w:pStyle w:val="Heading4"/>
      </w:pPr>
      <w:r w:rsidRPr="002104BF">
        <w:t>Course Releases</w:t>
      </w:r>
    </w:p>
    <w:p w14:paraId="44BBDC49" w14:textId="6C9683E3" w:rsidR="24C209F9" w:rsidRPr="00402936" w:rsidRDefault="10C722AB" w:rsidP="00AF446C">
      <w:pPr>
        <w:spacing w:after="240"/>
        <w:ind w:left="1800"/>
        <w:rPr>
          <w:rFonts w:eastAsiaTheme="minorEastAsia"/>
          <w:color w:val="4472C4" w:themeColor="accent1"/>
        </w:rPr>
      </w:pPr>
      <w:r w:rsidRPr="00402936">
        <w:rPr>
          <w:rFonts w:eastAsiaTheme="minorEastAsia"/>
          <w:color w:val="4472C4" w:themeColor="accent1"/>
        </w:rPr>
        <w:t xml:space="preserve">In the College of Education, a </w:t>
      </w:r>
      <w:r w:rsidRPr="00402936">
        <w:rPr>
          <w:rFonts w:eastAsiaTheme="minorEastAsia"/>
          <w:b/>
          <w:bCs/>
          <w:color w:val="4472C4" w:themeColor="accent1"/>
        </w:rPr>
        <w:t>course release</w:t>
      </w:r>
      <w:r w:rsidRPr="00402936">
        <w:rPr>
          <w:rFonts w:eastAsiaTheme="minorEastAsia"/>
          <w:color w:val="4472C4" w:themeColor="accent1"/>
        </w:rPr>
        <w:t xml:space="preserve"> permits a faculty member to be released from an individual course assignment (or other instructional expectation that is educationally equivalent to a minimum of 3 credit hours) </w:t>
      </w:r>
      <w:bookmarkStart w:id="8" w:name="_Int_09kns1GO"/>
      <w:r w:rsidRPr="00402936">
        <w:rPr>
          <w:rFonts w:eastAsiaTheme="minorEastAsia"/>
          <w:color w:val="4472C4" w:themeColor="accent1"/>
        </w:rPr>
        <w:t>in order to</w:t>
      </w:r>
      <w:bookmarkEnd w:id="8"/>
      <w:r w:rsidRPr="00402936">
        <w:rPr>
          <w:rFonts w:eastAsiaTheme="minorEastAsia"/>
          <w:color w:val="4472C4" w:themeColor="accent1"/>
        </w:rPr>
        <w:t xml:space="preserve"> assume administrative leadership duties or to take on additional service appointments that exceed the service expectation typically associated with all faculty roles.  Course releases must be approved by the college dean or </w:t>
      </w:r>
      <w:bookmarkStart w:id="9" w:name="_Int_6Q1XpugF"/>
      <w:proofErr w:type="gramStart"/>
      <w:r w:rsidRPr="00402936">
        <w:rPr>
          <w:rFonts w:eastAsiaTheme="minorEastAsia"/>
          <w:color w:val="4472C4" w:themeColor="accent1"/>
        </w:rPr>
        <w:t>designee</w:t>
      </w:r>
      <w:bookmarkEnd w:id="9"/>
      <w:proofErr w:type="gramEnd"/>
      <w:r w:rsidR="2DD84EC4" w:rsidRPr="00402936">
        <w:rPr>
          <w:rFonts w:eastAsiaTheme="minorEastAsia"/>
          <w:color w:val="4472C4" w:themeColor="accent1"/>
        </w:rPr>
        <w:t xml:space="preserve">. </w:t>
      </w:r>
      <w:r w:rsidR="44E1F4DB" w:rsidRPr="00402936">
        <w:rPr>
          <w:rFonts w:eastAsiaTheme="minorEastAsia"/>
          <w:color w:val="4472C4" w:themeColor="accent1"/>
        </w:rPr>
        <w:t>T</w:t>
      </w:r>
      <w:r w:rsidRPr="00402936">
        <w:rPr>
          <w:rFonts w:eastAsiaTheme="minorEastAsia"/>
          <w:color w:val="4472C4" w:themeColor="accent1"/>
        </w:rPr>
        <w:t>he reassignment of instructional faculty to non-instructional roles via course release has a direct budget impact on operations</w:t>
      </w:r>
      <w:r w:rsidR="6F336992" w:rsidRPr="00402936">
        <w:rPr>
          <w:rFonts w:eastAsiaTheme="minorEastAsia"/>
          <w:color w:val="4472C4" w:themeColor="accent1"/>
        </w:rPr>
        <w:t xml:space="preserve"> as c</w:t>
      </w:r>
      <w:r w:rsidRPr="00402936">
        <w:rPr>
          <w:rFonts w:eastAsiaTheme="minorEastAsia"/>
          <w:color w:val="4472C4" w:themeColor="accent1"/>
        </w:rPr>
        <w:t xml:space="preserve">ourse releases </w:t>
      </w:r>
      <w:r w:rsidR="0CA68F3B" w:rsidRPr="00402936">
        <w:rPr>
          <w:rFonts w:eastAsiaTheme="minorEastAsia"/>
          <w:color w:val="4472C4" w:themeColor="accent1"/>
        </w:rPr>
        <w:t>typically require</w:t>
      </w:r>
      <w:r w:rsidR="139F0224" w:rsidRPr="00402936">
        <w:rPr>
          <w:rFonts w:eastAsiaTheme="minorEastAsia"/>
          <w:color w:val="4472C4" w:themeColor="accent1"/>
        </w:rPr>
        <w:t xml:space="preserve"> </w:t>
      </w:r>
      <w:r w:rsidRPr="00402936">
        <w:rPr>
          <w:rFonts w:eastAsiaTheme="minorEastAsia"/>
          <w:color w:val="4472C4" w:themeColor="accent1"/>
        </w:rPr>
        <w:t>the temporary hire of replacement faculty into the vacant instructional role.</w:t>
      </w:r>
    </w:p>
    <w:p w14:paraId="7BBD95F1" w14:textId="1AD91CB9" w:rsidR="10C722AB" w:rsidRPr="00402936" w:rsidRDefault="10C722AB" w:rsidP="00AF446C">
      <w:pPr>
        <w:pStyle w:val="ListParagraph"/>
        <w:spacing w:after="240"/>
        <w:ind w:left="1800"/>
        <w:contextualSpacing w:val="0"/>
        <w:rPr>
          <w:rFonts w:eastAsiaTheme="minorEastAsia"/>
          <w:color w:val="4472C4" w:themeColor="accent1"/>
        </w:rPr>
      </w:pPr>
      <w:r w:rsidRPr="00402936">
        <w:rPr>
          <w:rFonts w:eastAsiaTheme="minorEastAsia"/>
          <w:color w:val="4472C4" w:themeColor="accent1"/>
        </w:rPr>
        <w:t>Faculty with instructional responsibilities may be recommended for release from those responsibilities on a per course basis by their department head, with approval from the dean or the dean’s designee. Department heads</w:t>
      </w:r>
      <w:r w:rsidR="59D89F1A" w:rsidRPr="00402936">
        <w:rPr>
          <w:rFonts w:eastAsiaTheme="minorEastAsia"/>
          <w:color w:val="4472C4" w:themeColor="accent1"/>
        </w:rPr>
        <w:t>,</w:t>
      </w:r>
      <w:r w:rsidRPr="00402936">
        <w:rPr>
          <w:rFonts w:eastAsiaTheme="minorEastAsia"/>
          <w:color w:val="4472C4" w:themeColor="accent1"/>
        </w:rPr>
        <w:t xml:space="preserve"> in consultation with the dean or the dean’s designee</w:t>
      </w:r>
      <w:r w:rsidR="0F656E32" w:rsidRPr="00402936">
        <w:rPr>
          <w:rFonts w:eastAsiaTheme="minorEastAsia"/>
          <w:color w:val="4472C4" w:themeColor="accent1"/>
        </w:rPr>
        <w:t>,</w:t>
      </w:r>
      <w:r w:rsidRPr="00402936">
        <w:rPr>
          <w:rFonts w:eastAsiaTheme="minorEastAsia"/>
          <w:color w:val="4472C4" w:themeColor="accent1"/>
        </w:rPr>
        <w:t xml:space="preserve"> may recommend release from a course for special assignments within the college such as the following examples:</w:t>
      </w:r>
    </w:p>
    <w:p w14:paraId="163A9139" w14:textId="6A4549BD"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Program directorship or associated program coordination</w:t>
      </w:r>
    </w:p>
    <w:p w14:paraId="60D1A8F0" w14:textId="4BF86B53"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Clinical or Institute directorship</w:t>
      </w:r>
    </w:p>
    <w:p w14:paraId="70DB24EC" w14:textId="6B412DED"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Supervision responsibilities*</w:t>
      </w:r>
    </w:p>
    <w:p w14:paraId="75CABB89" w14:textId="34295D68"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Early career approved start-up activities (these are typically assigned by</w:t>
      </w:r>
      <w:r w:rsidR="55648F6A" w:rsidRPr="00402936">
        <w:rPr>
          <w:rFonts w:eastAsiaTheme="minorEastAsia"/>
          <w:color w:val="4472C4" w:themeColor="accent1"/>
        </w:rPr>
        <w:t xml:space="preserve"> </w:t>
      </w:r>
      <w:r w:rsidRPr="00402936">
        <w:rPr>
          <w:rFonts w:eastAsiaTheme="minorEastAsia"/>
          <w:color w:val="4472C4" w:themeColor="accent1"/>
        </w:rPr>
        <w:t>the dean at the time of hire)</w:t>
      </w:r>
    </w:p>
    <w:p w14:paraId="03E62F49" w14:textId="3CDFD63D"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Department head leadership</w:t>
      </w:r>
    </w:p>
    <w:p w14:paraId="36EC8E7F" w14:textId="228A53FB"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Associate Dean leadership</w:t>
      </w:r>
    </w:p>
    <w:p w14:paraId="47498606" w14:textId="73175D0A"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Certain university leadership appointments</w:t>
      </w:r>
    </w:p>
    <w:p w14:paraId="0C8EA0CC" w14:textId="29EB9E27"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United Academics service, as per the CBA</w:t>
      </w:r>
    </w:p>
    <w:p w14:paraId="39381E12" w14:textId="7CAAB754" w:rsidR="204A8510" w:rsidRPr="00402936" w:rsidRDefault="204A8510" w:rsidP="00FE34DB">
      <w:pPr>
        <w:pStyle w:val="ListParagraph"/>
        <w:numPr>
          <w:ilvl w:val="0"/>
          <w:numId w:val="1"/>
        </w:numPr>
        <w:ind w:left="2430" w:hanging="270"/>
        <w:contextualSpacing w:val="0"/>
        <w:rPr>
          <w:rFonts w:eastAsiaTheme="minorEastAsia"/>
          <w:color w:val="4472C4" w:themeColor="accent1"/>
        </w:rPr>
      </w:pPr>
      <w:r w:rsidRPr="00402936">
        <w:rPr>
          <w:rFonts w:eastAsiaTheme="minorEastAsia"/>
          <w:color w:val="4472C4" w:themeColor="accent1"/>
        </w:rPr>
        <w:t>Other specialized service that exceeds the service expectation typically associated with all faculty roles</w:t>
      </w:r>
    </w:p>
    <w:p w14:paraId="00DFFDED" w14:textId="1D91556D" w:rsidR="24C209F9" w:rsidRPr="00FE34DB" w:rsidRDefault="204A8510" w:rsidP="00FE34DB">
      <w:pPr>
        <w:pStyle w:val="ListParagraph"/>
        <w:numPr>
          <w:ilvl w:val="0"/>
          <w:numId w:val="1"/>
        </w:numPr>
        <w:spacing w:after="240"/>
        <w:ind w:left="2430" w:hanging="270"/>
        <w:contextualSpacing w:val="0"/>
        <w:rPr>
          <w:rFonts w:eastAsiaTheme="minorEastAsia"/>
          <w:color w:val="4472C4" w:themeColor="accent1"/>
        </w:rPr>
      </w:pPr>
      <w:r w:rsidRPr="00402936">
        <w:rPr>
          <w:rFonts w:eastAsiaTheme="minorEastAsia"/>
          <w:color w:val="4472C4" w:themeColor="accent1"/>
        </w:rPr>
        <w:t>Additionally, some assignments may occur outside the college such as instructional roles in Clark Honors College</w:t>
      </w:r>
    </w:p>
    <w:p w14:paraId="71756EC7" w14:textId="4DA31431" w:rsidR="00051CB2" w:rsidRDefault="70CAC0D3" w:rsidP="00FE34DB">
      <w:pPr>
        <w:spacing w:after="240"/>
        <w:ind w:left="1800"/>
        <w:rPr>
          <w:rFonts w:eastAsiaTheme="minorEastAsia"/>
          <w:color w:val="4472C4" w:themeColor="accent1"/>
        </w:rPr>
      </w:pPr>
      <w:r w:rsidRPr="00402936">
        <w:rPr>
          <w:rFonts w:eastAsiaTheme="minorEastAsia"/>
          <w:color w:val="4472C4" w:themeColor="accent1"/>
        </w:rPr>
        <w:t>*</w:t>
      </w:r>
      <w:r w:rsidRPr="00402936">
        <w:rPr>
          <w:rFonts w:eastAsiaTheme="minorEastAsia"/>
          <w:b/>
          <w:bCs/>
          <w:color w:val="4472C4" w:themeColor="accent1"/>
        </w:rPr>
        <w:t>Note:</w:t>
      </w:r>
      <w:r w:rsidRPr="00402936">
        <w:rPr>
          <w:rFonts w:eastAsiaTheme="minorEastAsia"/>
          <w:color w:val="4472C4" w:themeColor="accent1"/>
        </w:rPr>
        <w:t xml:space="preserve"> Supervision responsibilities vary within the COE and require different levels of consideration when assigning course releases. For example, supervision in the COE may refer to: direct supervision, indirect supervision, clinical supervision, or group consultation. </w:t>
      </w:r>
    </w:p>
    <w:p w14:paraId="044A8CF2" w14:textId="77777777" w:rsidR="00051CB2" w:rsidRDefault="00051CB2">
      <w:pPr>
        <w:rPr>
          <w:rFonts w:eastAsiaTheme="minorEastAsia"/>
          <w:color w:val="4472C4" w:themeColor="accent1"/>
        </w:rPr>
      </w:pPr>
      <w:r>
        <w:rPr>
          <w:rFonts w:eastAsiaTheme="minorEastAsia"/>
          <w:color w:val="4472C4" w:themeColor="accent1"/>
        </w:rPr>
        <w:br w:type="page"/>
      </w:r>
    </w:p>
    <w:p w14:paraId="35305D93" w14:textId="70A100F8" w:rsidR="005B14BD" w:rsidRDefault="005B14BD" w:rsidP="00FE34DB">
      <w:pPr>
        <w:pStyle w:val="Heading4"/>
      </w:pPr>
      <w:r w:rsidRPr="24C209F9">
        <w:lastRenderedPageBreak/>
        <w:t>Course Buyouts</w:t>
      </w:r>
    </w:p>
    <w:p w14:paraId="17FFBF4E" w14:textId="5DB9C8F6" w:rsidR="16B7C007" w:rsidRPr="00FE34DB" w:rsidRDefault="16B7C007" w:rsidP="00FE34DB">
      <w:pPr>
        <w:pStyle w:val="ListParagraph"/>
        <w:spacing w:after="240"/>
        <w:ind w:left="1800"/>
        <w:contextualSpacing w:val="0"/>
        <w:rPr>
          <w:rFonts w:eastAsiaTheme="minorEastAsia"/>
          <w:color w:val="4472C4" w:themeColor="accent1"/>
        </w:rPr>
      </w:pPr>
      <w:r w:rsidRPr="00402936">
        <w:rPr>
          <w:rFonts w:eastAsiaTheme="minorEastAsia"/>
          <w:color w:val="4472C4" w:themeColor="accent1"/>
        </w:rPr>
        <w:t xml:space="preserve">A </w:t>
      </w:r>
      <w:r w:rsidRPr="00402936">
        <w:rPr>
          <w:rFonts w:eastAsiaTheme="minorEastAsia"/>
          <w:b/>
          <w:bCs/>
          <w:color w:val="4472C4" w:themeColor="accent1"/>
        </w:rPr>
        <w:t>course buyout</w:t>
      </w:r>
      <w:r w:rsidRPr="00402936">
        <w:rPr>
          <w:rFonts w:eastAsiaTheme="minorEastAsia"/>
          <w:color w:val="4472C4" w:themeColor="accent1"/>
        </w:rPr>
        <w:t xml:space="preserve"> </w:t>
      </w:r>
      <w:r w:rsidR="00657B41" w:rsidRPr="00402936">
        <w:rPr>
          <w:rFonts w:eastAsiaTheme="minorEastAsia"/>
          <w:color w:val="4472C4" w:themeColor="accent1"/>
        </w:rPr>
        <w:t xml:space="preserve">is a mechanism that </w:t>
      </w:r>
      <w:r w:rsidRPr="00402936">
        <w:rPr>
          <w:rFonts w:eastAsiaTheme="minorEastAsia"/>
          <w:color w:val="4472C4" w:themeColor="accent1"/>
        </w:rPr>
        <w:t xml:space="preserve">permits a faculty member to reimburse the college via an alternate revenue stream in exchange for release from a single course assignment (or equivalent), </w:t>
      </w:r>
      <w:bookmarkStart w:id="10" w:name="_Int_SizVNHEc"/>
      <w:proofErr w:type="gramStart"/>
      <w:r w:rsidRPr="00402936">
        <w:rPr>
          <w:rFonts w:eastAsiaTheme="minorEastAsia"/>
          <w:color w:val="4472C4" w:themeColor="accent1"/>
        </w:rPr>
        <w:t>in order to</w:t>
      </w:r>
      <w:bookmarkEnd w:id="10"/>
      <w:proofErr w:type="gramEnd"/>
      <w:r w:rsidRPr="00402936">
        <w:rPr>
          <w:rFonts w:eastAsiaTheme="minorEastAsia"/>
          <w:color w:val="4472C4" w:themeColor="accent1"/>
        </w:rPr>
        <w:t xml:space="preserve"> conduct externally funded research or, assume service or other appointments for which </w:t>
      </w:r>
      <w:r w:rsidR="27907CE6" w:rsidRPr="00402936">
        <w:rPr>
          <w:rFonts w:eastAsiaTheme="minorEastAsia"/>
          <w:color w:val="4472C4" w:themeColor="accent1"/>
        </w:rPr>
        <w:t xml:space="preserve">alternate </w:t>
      </w:r>
      <w:r w:rsidRPr="00402936">
        <w:rPr>
          <w:rFonts w:eastAsiaTheme="minorEastAsia"/>
          <w:color w:val="4472C4" w:themeColor="accent1"/>
        </w:rPr>
        <w:t>reimbursement is provided. Unlike a course release, course buyout implies that the college is reimbursed at a rate that allows them to temporarily fill the instructional gap resulting from the faculty member’s alternate activity. Buyout is typically associated with sponsored research. Course buyout rates are set and approved at the college level and revisited based on a variety of factors. While the financial impact of a course buyout is less than that of a course release, course buyouts do have operational impact on the department and college and therefore require department head and dean or dean’s designee approval.</w:t>
      </w:r>
      <w:r w:rsidR="00793BEC" w:rsidRPr="00402936">
        <w:rPr>
          <w:rFonts w:eastAsiaTheme="minorEastAsia"/>
          <w:color w:val="4472C4" w:themeColor="accent1"/>
        </w:rPr>
        <w:t xml:space="preserve"> Faculty members who anticipate buying out of one or more courses for the upcoming year would indicate their intent at the time of workload planning.</w:t>
      </w:r>
    </w:p>
    <w:p w14:paraId="463DEB75" w14:textId="0CFDCEA0" w:rsidR="16B7C007" w:rsidRPr="00FE34DB" w:rsidRDefault="16B7C007" w:rsidP="00FE34DB">
      <w:pPr>
        <w:pStyle w:val="ListParagraph"/>
        <w:spacing w:after="240"/>
        <w:ind w:left="1800"/>
        <w:contextualSpacing w:val="0"/>
        <w:rPr>
          <w:rFonts w:eastAsiaTheme="minorEastAsia"/>
          <w:color w:val="4472C4" w:themeColor="accent1"/>
        </w:rPr>
      </w:pPr>
      <w:r w:rsidRPr="00402936">
        <w:rPr>
          <w:rFonts w:eastAsiaTheme="minorEastAsia"/>
          <w:color w:val="4472C4" w:themeColor="accent1"/>
        </w:rPr>
        <w:t xml:space="preserve">The COE course buyout rate that is in effect on the date the buyout is first approved will be used as a guideline to determine the internal or external buyout rate for a faculty member. </w:t>
      </w:r>
    </w:p>
    <w:p w14:paraId="5C6DF3FA" w14:textId="0B819D90" w:rsidR="16B7C007" w:rsidRPr="00FE34DB" w:rsidRDefault="16B7C007" w:rsidP="00FE34DB">
      <w:pPr>
        <w:pStyle w:val="ListParagraph"/>
        <w:spacing w:after="240"/>
        <w:ind w:left="1800"/>
        <w:contextualSpacing w:val="0"/>
        <w:rPr>
          <w:rFonts w:eastAsiaTheme="minorEastAsia"/>
          <w:color w:val="4472C4" w:themeColor="accent1"/>
        </w:rPr>
      </w:pPr>
      <w:r w:rsidRPr="00402936">
        <w:rPr>
          <w:rFonts w:eastAsiaTheme="minorEastAsia"/>
          <w:b/>
          <w:bCs/>
          <w:color w:val="4472C4" w:themeColor="accent1"/>
        </w:rPr>
        <w:t xml:space="preserve">External course buyouts </w:t>
      </w:r>
      <w:r w:rsidRPr="00402936">
        <w:rPr>
          <w:rFonts w:eastAsiaTheme="minorEastAsia"/>
          <w:color w:val="4472C4" w:themeColor="accent1"/>
        </w:rPr>
        <w:t>arise when an individual faculty member requests to be released from instruction using funds from external grants, contracts, designated operations, foundation, or research occurring outside of the COE or university. In these instances, the funds are assigned to that individual faculty member and/or activity. These external buyout rates are at or above the COE rates, which are periodically set in the COE course buyout rate guidelines.</w:t>
      </w:r>
    </w:p>
    <w:p w14:paraId="7BF765E1" w14:textId="2218378C" w:rsidR="005B14BD" w:rsidRPr="00FE34DB" w:rsidRDefault="16B7C007" w:rsidP="00FE34DB">
      <w:pPr>
        <w:pStyle w:val="ListParagraph"/>
        <w:spacing w:after="240"/>
        <w:ind w:left="1800"/>
        <w:contextualSpacing w:val="0"/>
        <w:rPr>
          <w:rFonts w:eastAsiaTheme="minorEastAsia"/>
          <w:color w:val="4472C4" w:themeColor="accent1"/>
        </w:rPr>
      </w:pPr>
      <w:r w:rsidRPr="00402936">
        <w:rPr>
          <w:rFonts w:eastAsiaTheme="minorEastAsia"/>
          <w:b/>
          <w:bCs/>
          <w:color w:val="4472C4" w:themeColor="accent1"/>
        </w:rPr>
        <w:t>Internal course buyout</w:t>
      </w:r>
      <w:r w:rsidRPr="00402936">
        <w:rPr>
          <w:rFonts w:eastAsiaTheme="minorEastAsia"/>
          <w:color w:val="4472C4" w:themeColor="accent1"/>
        </w:rPr>
        <w:t xml:space="preserve"> is a buyout funded from another unit within the university. In instances where a COE faculty member receives a course buyout from another UO unit (i.e., outside the COE but within the university), the amount the COE or the home unit receives from that unit should be at or above the approved COE rates, which are periodically set in the COE course buyout rate guidelines. In instances where a COE unit buys out a non-COE UO faculty member, the amount paid is subject to the buyout rate set by, or negotiated with, that unit. Approval is required from the Department Head and depends on adequate funding.</w:t>
      </w:r>
    </w:p>
    <w:p w14:paraId="6F719200" w14:textId="7BF5180E" w:rsidR="00DC48C0" w:rsidRDefault="00DC48C0" w:rsidP="00902BB3">
      <w:pPr>
        <w:pStyle w:val="Heading4"/>
      </w:pPr>
      <w:r w:rsidRPr="24C209F9">
        <w:t>Course Load Increase</w:t>
      </w:r>
    </w:p>
    <w:p w14:paraId="05616878" w14:textId="18AC97CE" w:rsidR="00C37764" w:rsidRPr="00B524FB" w:rsidRDefault="00DC48C0" w:rsidP="00B524FB">
      <w:pPr>
        <w:pStyle w:val="ListParagraph"/>
        <w:spacing w:after="240"/>
        <w:ind w:left="1800"/>
        <w:contextualSpacing w:val="0"/>
        <w:rPr>
          <w:rFonts w:eastAsiaTheme="minorEastAsia"/>
        </w:rPr>
      </w:pPr>
      <w:r w:rsidRPr="24C209F9">
        <w:rPr>
          <w:rFonts w:eastAsiaTheme="minorEastAsia"/>
        </w:rPr>
        <w:t>In some cases, course loads may be increased beyond the unit baseline</w:t>
      </w:r>
      <w:r w:rsidR="00402936">
        <w:rPr>
          <w:rFonts w:eastAsiaTheme="minorEastAsia"/>
        </w:rPr>
        <w:t xml:space="preserve"> in conjunction with FTE adjustments to other duties</w:t>
      </w:r>
      <w:r w:rsidRPr="24C209F9">
        <w:rPr>
          <w:rFonts w:eastAsiaTheme="minorEastAsia"/>
        </w:rPr>
        <w:t>.</w:t>
      </w:r>
    </w:p>
    <w:p w14:paraId="7945D336" w14:textId="6A643AFF" w:rsidR="00C37764" w:rsidRPr="00051CB2" w:rsidRDefault="00726538" w:rsidP="00902BB3">
      <w:pPr>
        <w:spacing w:after="240"/>
        <w:ind w:left="1800"/>
        <w:rPr>
          <w:rFonts w:eastAsiaTheme="minorEastAsia"/>
          <w:b/>
          <w:bCs/>
        </w:rPr>
      </w:pPr>
      <w:r w:rsidRPr="00051CB2">
        <w:rPr>
          <w:rFonts w:eastAsiaTheme="minorEastAsia"/>
        </w:rPr>
        <w:t>Development plans, as outlined in Article 20</w:t>
      </w:r>
      <w:ins w:id="11" w:author="Office of the Provost" w:date="2026-01-07T13:43:00Z" w16du:dateUtc="2026-01-07T21:43:00Z">
        <w:r w:rsidR="000D6026">
          <w:rPr>
            <w:rFonts w:eastAsiaTheme="minorEastAsia"/>
          </w:rPr>
          <w:t>, Section 38</w:t>
        </w:r>
      </w:ins>
      <w:r w:rsidRPr="00051CB2">
        <w:rPr>
          <w:rFonts w:eastAsiaTheme="minorEastAsia"/>
        </w:rPr>
        <w:t xml:space="preserve"> of the CBA, may result in an increase in course load and a reduction in FTE for other duties. Course loads may </w:t>
      </w:r>
      <w:r w:rsidRPr="00051CB2">
        <w:rPr>
          <w:rFonts w:eastAsiaTheme="minorEastAsia"/>
        </w:rPr>
        <w:lastRenderedPageBreak/>
        <w:t xml:space="preserve">also be increased with a reassignment of other duties due to departmental needs or at faculty request when approved by the dean or </w:t>
      </w:r>
      <w:proofErr w:type="gramStart"/>
      <w:r w:rsidRPr="00051CB2">
        <w:rPr>
          <w:rFonts w:eastAsiaTheme="minorEastAsia"/>
        </w:rPr>
        <w:t>designee</w:t>
      </w:r>
      <w:proofErr w:type="gramEnd"/>
      <w:r w:rsidRPr="00051CB2">
        <w:rPr>
          <w:rFonts w:eastAsiaTheme="minorEastAsia"/>
        </w:rPr>
        <w:t>.</w:t>
      </w:r>
    </w:p>
    <w:p w14:paraId="7F15300E" w14:textId="5C5936CA" w:rsidR="00FA423D" w:rsidRDefault="00C7544B" w:rsidP="00B524FB">
      <w:pPr>
        <w:pStyle w:val="Heading2"/>
      </w:pPr>
      <w:r w:rsidRPr="24C209F9">
        <w:t>Impact of Enrollment on Faculty Assignments</w:t>
      </w:r>
    </w:p>
    <w:p w14:paraId="40044767" w14:textId="1DD4C5B4" w:rsidR="00C7544B" w:rsidRPr="00C7544B" w:rsidRDefault="00C7544B" w:rsidP="002D470A">
      <w:pPr>
        <w:pStyle w:val="ListParagraph"/>
        <w:spacing w:after="240"/>
        <w:contextualSpacing w:val="0"/>
        <w:rPr>
          <w:rFonts w:eastAsiaTheme="minorEastAsia"/>
        </w:rPr>
      </w:pPr>
      <w:r w:rsidRPr="24C209F9">
        <w:rPr>
          <w:rFonts w:eastAsiaTheme="minorEastAsia"/>
        </w:rPr>
        <w:t xml:space="preserve">In the event of course cancellation for insufficient enrollment: </w:t>
      </w:r>
    </w:p>
    <w:p w14:paraId="7F340DF6" w14:textId="7217C50F" w:rsidR="00C7544B" w:rsidRPr="00C7544B" w:rsidDel="003C0AE6" w:rsidRDefault="00C7544B" w:rsidP="003F0E4D">
      <w:pPr>
        <w:pStyle w:val="ListParagraph"/>
        <w:numPr>
          <w:ilvl w:val="2"/>
          <w:numId w:val="3"/>
        </w:numPr>
        <w:spacing w:after="240"/>
        <w:contextualSpacing w:val="0"/>
        <w:rPr>
          <w:del w:id="12" w:author="Office of the Provost" w:date="2026-01-07T13:44:00Z" w16du:dateUtc="2026-01-07T21:44:00Z"/>
          <w:rFonts w:eastAsiaTheme="minorEastAsia"/>
        </w:rPr>
      </w:pPr>
      <w:r w:rsidRPr="003C0AE6">
        <w:rPr>
          <w:rFonts w:eastAsiaTheme="minorEastAsia"/>
        </w:rPr>
        <w:t xml:space="preserve">The University will work with the affected faculty </w:t>
      </w:r>
      <w:proofErr w:type="gramStart"/>
      <w:r w:rsidRPr="003C0AE6">
        <w:rPr>
          <w:rFonts w:eastAsiaTheme="minorEastAsia"/>
        </w:rPr>
        <w:t>member</w:t>
      </w:r>
      <w:proofErr w:type="gramEnd"/>
      <w:r w:rsidRPr="003C0AE6">
        <w:rPr>
          <w:rFonts w:eastAsiaTheme="minorEastAsia"/>
        </w:rPr>
        <w:t xml:space="preserve"> to determine if it is possible to replace the course assignment with an equivalent course assignment within the same academic year. The assignment of an equivalent course pursuant to the Section shall not be considered an overload assignment.</w:t>
      </w:r>
      <w:del w:id="13" w:author="Office of the Provost" w:date="2026-01-07T13:44:00Z" w16du:dateUtc="2026-01-07T21:44:00Z">
        <w:r w:rsidRPr="003C0AE6" w:rsidDel="003C0AE6">
          <w:rPr>
            <w:rFonts w:eastAsiaTheme="minorEastAsia"/>
          </w:rPr>
          <w:delText xml:space="preserve"> </w:delText>
        </w:r>
      </w:del>
      <w:ins w:id="14" w:author="Office of the Provost" w:date="2026-01-07T13:44:00Z" w16du:dateUtc="2026-01-07T21:44:00Z">
        <w:r w:rsidR="003C0AE6">
          <w:t xml:space="preserve"> Except by mutual agreement, a faculty member will not be expected to teach more than three courses (3-5 credit courses) in a term.</w:t>
        </w:r>
        <w:r w:rsidR="003C0AE6">
          <w:br/>
        </w:r>
      </w:ins>
    </w:p>
    <w:p w14:paraId="0B088484" w14:textId="4CCF2E09" w:rsidR="00C7544B" w:rsidRPr="003C0AE6" w:rsidRDefault="00C7544B" w:rsidP="003F0E4D">
      <w:pPr>
        <w:pStyle w:val="ListParagraph"/>
        <w:numPr>
          <w:ilvl w:val="2"/>
          <w:numId w:val="3"/>
        </w:numPr>
        <w:spacing w:after="240"/>
        <w:contextualSpacing w:val="0"/>
        <w:rPr>
          <w:rFonts w:eastAsiaTheme="minorEastAsia"/>
        </w:rPr>
      </w:pPr>
      <w:r w:rsidRPr="003C0AE6">
        <w:rPr>
          <w:rFonts w:eastAsiaTheme="minorEastAsia"/>
        </w:rPr>
        <w:t xml:space="preserve">If it is not possible to replace the course assignment within the same academic year, the department may provide an equivalent, alternative assignment </w:t>
      </w:r>
      <w:ins w:id="15" w:author="Office of the Provost" w:date="2026-01-07T13:44:00Z" w16du:dateUtc="2026-01-07T21:44:00Z">
        <w:r w:rsidR="00707231">
          <w:t>or combination of assignments</w:t>
        </w:r>
        <w:r w:rsidR="00707231" w:rsidRPr="003C0AE6">
          <w:rPr>
            <w:rFonts w:eastAsiaTheme="minorEastAsia"/>
          </w:rPr>
          <w:t xml:space="preserve"> </w:t>
        </w:r>
      </w:ins>
      <w:r w:rsidRPr="003C0AE6">
        <w:rPr>
          <w:rFonts w:eastAsiaTheme="minorEastAsia"/>
        </w:rPr>
        <w:t xml:space="preserve">consistent with the department’s workload policy. Examples of such work include but are not limited to the following: advising; determining course equivalencies for transfer credit; assessment projects; curriculum development; substitute teaching; recruiting for study abroad programs; and course development for future years. The equivalent, alternative assignment must be completed during the same term the canceled course was scheduled. </w:t>
      </w:r>
    </w:p>
    <w:p w14:paraId="0E10FD4E" w14:textId="31F5DCCF" w:rsidR="00FF46D9" w:rsidRPr="00B524FB" w:rsidRDefault="00C7544B" w:rsidP="00B524FB">
      <w:pPr>
        <w:pStyle w:val="ListParagraph"/>
        <w:numPr>
          <w:ilvl w:val="2"/>
          <w:numId w:val="3"/>
        </w:numPr>
        <w:spacing w:after="240"/>
        <w:contextualSpacing w:val="0"/>
        <w:rPr>
          <w:rFonts w:eastAsiaTheme="minorEastAsia"/>
        </w:rPr>
      </w:pPr>
      <w:r w:rsidRPr="24C209F9">
        <w:rPr>
          <w:rFonts w:eastAsiaTheme="minorEastAsia"/>
        </w:rPr>
        <w:t>If assignments cannot be made under (a) and (b) of this section, the bargaining unit faculty member shall be assigned faculty-related work by the Dean’s office.</w:t>
      </w:r>
    </w:p>
    <w:p w14:paraId="2D12A3E5" w14:textId="00406672" w:rsidR="002D63EB" w:rsidRPr="00B524FB" w:rsidRDefault="00FF46D9" w:rsidP="00B524FB">
      <w:pPr>
        <w:pStyle w:val="ListParagraph"/>
        <w:numPr>
          <w:ilvl w:val="2"/>
          <w:numId w:val="3"/>
        </w:numPr>
        <w:spacing w:after="240"/>
        <w:contextualSpacing w:val="0"/>
        <w:rPr>
          <w:rFonts w:eastAsiaTheme="minorEastAsia"/>
        </w:rPr>
      </w:pPr>
      <w:r w:rsidRPr="24C209F9">
        <w:rPr>
          <w:rFonts w:eastAsiaTheme="minorEastAsia"/>
        </w:rPr>
        <w:t xml:space="preserve">As per </w:t>
      </w:r>
      <w:r w:rsidR="00C83EB0" w:rsidRPr="24C209F9">
        <w:rPr>
          <w:rFonts w:eastAsiaTheme="minorEastAsia"/>
        </w:rPr>
        <w:t xml:space="preserve">Article </w:t>
      </w:r>
      <w:r w:rsidR="0082047D" w:rsidRPr="24C209F9">
        <w:rPr>
          <w:rFonts w:eastAsiaTheme="minorEastAsia"/>
        </w:rPr>
        <w:t xml:space="preserve">16 of CBA, </w:t>
      </w:r>
      <w:r w:rsidR="00354CE4" w:rsidRPr="24C209F9">
        <w:rPr>
          <w:rFonts w:eastAsiaTheme="minorEastAsia"/>
        </w:rPr>
        <w:t xml:space="preserve">by mutual agreement between the faculty member and the Office of the Provost or the </w:t>
      </w:r>
      <w:r w:rsidR="30E258D1" w:rsidRPr="24C209F9">
        <w:rPr>
          <w:rFonts w:eastAsiaTheme="minorEastAsia"/>
        </w:rPr>
        <w:t>d</w:t>
      </w:r>
      <w:r w:rsidR="00354CE4" w:rsidRPr="24C209F9">
        <w:rPr>
          <w:rFonts w:eastAsiaTheme="minorEastAsia"/>
        </w:rPr>
        <w:t xml:space="preserve">ean, </w:t>
      </w:r>
      <w:r w:rsidR="00C4685D" w:rsidRPr="24C209F9">
        <w:rPr>
          <w:rFonts w:eastAsiaTheme="minorEastAsia"/>
        </w:rPr>
        <w:t xml:space="preserve">the faculty member may have their base FTE temporarily reduced if the mutual decision is to not </w:t>
      </w:r>
      <w:r w:rsidR="005251CE" w:rsidRPr="24C209F9">
        <w:rPr>
          <w:rFonts w:eastAsiaTheme="minorEastAsia"/>
        </w:rPr>
        <w:t>take on an alternative assignment.</w:t>
      </w:r>
    </w:p>
    <w:p w14:paraId="16A039CD" w14:textId="50C6EA67" w:rsidR="00FA423D" w:rsidRDefault="00C7544B" w:rsidP="00B524FB">
      <w:pPr>
        <w:pStyle w:val="Heading2"/>
      </w:pPr>
      <w:r w:rsidRPr="24C209F9">
        <w:t>Overloads</w:t>
      </w:r>
    </w:p>
    <w:p w14:paraId="3AE7A8B0" w14:textId="2D88D0D1" w:rsidR="00C7544B" w:rsidRPr="003B0232" w:rsidRDefault="00C7544B" w:rsidP="003B0232">
      <w:pPr>
        <w:pStyle w:val="ListParagraph"/>
        <w:spacing w:after="240"/>
        <w:contextualSpacing w:val="0"/>
        <w:rPr>
          <w:rFonts w:eastAsiaTheme="minorEastAsia"/>
        </w:rPr>
      </w:pPr>
      <w:r w:rsidRPr="24C209F9">
        <w:rPr>
          <w:rFonts w:eastAsiaTheme="minorEastAsia"/>
        </w:rPr>
        <w:t>An overload assignment is (1) an assignment that is in addition to the faculty member’s regular assignment and FTE status; (2) a one time or limited assignment, made or approved by the Office of the Provost, that is in addition to or different from regular or usual assignments for the member’s classification and rank; or (3) assignments unrelated to the faculty member’s primary job responsibilities.</w:t>
      </w:r>
    </w:p>
    <w:p w14:paraId="401B4A85" w14:textId="0BB9A02C" w:rsidR="005253AF" w:rsidRPr="003B0232" w:rsidRDefault="00C7544B" w:rsidP="003B0232">
      <w:pPr>
        <w:pStyle w:val="ListParagraph"/>
        <w:spacing w:after="240"/>
        <w:contextualSpacing w:val="0"/>
        <w:rPr>
          <w:rFonts w:eastAsiaTheme="minorEastAsia"/>
        </w:rPr>
      </w:pPr>
      <w:r w:rsidRPr="24C209F9">
        <w:rPr>
          <w:rFonts w:eastAsiaTheme="minorEastAsia"/>
        </w:rPr>
        <w:t xml:space="preserve">Overload appointments, except those with alternative compensation models, will be assigned an FTE percentage commensurate with normal workload duties and compensated accordingly. </w:t>
      </w:r>
      <w:r w:rsidR="00685FCE" w:rsidRPr="24C209F9">
        <w:rPr>
          <w:rFonts w:eastAsiaTheme="minorEastAsia"/>
        </w:rPr>
        <w:t>F</w:t>
      </w:r>
      <w:r w:rsidRPr="24C209F9">
        <w:rPr>
          <w:rFonts w:eastAsiaTheme="minorEastAsia"/>
        </w:rPr>
        <w:t xml:space="preserve">aculty members may request that overload compensation take the form of course release </w:t>
      </w:r>
      <w:ins w:id="16" w:author="Office of the Provost" w:date="2026-01-07T13:44:00Z" w16du:dateUtc="2026-01-07T21:44:00Z">
        <w:r w:rsidR="00074ADB">
          <w:t>:</w:t>
        </w:r>
        <w:del w:id="17" w:author="Office of the Provost" w:date="2025-09-08T13:15:00Z" w16du:dateUtc="2025-09-08T20:15:00Z">
          <w:r w:rsidR="00074ADB" w:rsidDel="008E0BC3">
            <w:delText xml:space="preserve"> </w:delText>
          </w:r>
        </w:del>
        <w:r w:rsidR="00074ADB">
          <w:t xml:space="preserve"> (a) when </w:t>
        </w:r>
        <w:del w:id="18" w:author="Denita Strietelmeier" w:date="2025-07-24T17:54:00Z">
          <w:r w:rsidR="00074ADB" w:rsidDel="00C7544B">
            <w:delText>the</w:delText>
          </w:r>
        </w:del>
        <w:r w:rsidR="00074ADB">
          <w:t xml:space="preserve">overload duties are completed in Fall or Winter, the course release must be taken in the same academic year as the </w:t>
        </w:r>
        <w:del w:id="19" w:author="Denita Strietelmeier" w:date="2025-07-24T17:55:00Z">
          <w:r w:rsidR="00074ADB" w:rsidDel="00C7544B">
            <w:delText>release</w:delText>
          </w:r>
        </w:del>
        <w:r w:rsidR="00074ADB">
          <w:t>overload duties unless authorized by the Office of the Provost; (b) When the overload duties are completed in the Spring, the course release must be taken the following Fall term unless authorized by the Office of the Provost</w:t>
        </w:r>
      </w:ins>
      <w:del w:id="20" w:author="Office of the Provost" w:date="2026-01-07T13:44:00Z" w16du:dateUtc="2026-01-07T21:44:00Z">
        <w:r w:rsidRPr="24C209F9" w:rsidDel="00074ADB">
          <w:rPr>
            <w:rFonts w:eastAsiaTheme="minorEastAsia"/>
          </w:rPr>
          <w:delText xml:space="preserve">when the duties are </w:delText>
        </w:r>
        <w:r w:rsidRPr="24C209F9" w:rsidDel="00074ADB">
          <w:rPr>
            <w:rFonts w:eastAsiaTheme="minorEastAsia"/>
          </w:rPr>
          <w:lastRenderedPageBreak/>
          <w:delText>completed in the same academic year as the release</w:delText>
        </w:r>
      </w:del>
      <w:r w:rsidRPr="24C209F9">
        <w:rPr>
          <w:rFonts w:eastAsiaTheme="minorEastAsia"/>
        </w:rPr>
        <w:t xml:space="preserve">. No </w:t>
      </w:r>
      <w:r w:rsidR="00685FCE" w:rsidRPr="24C209F9">
        <w:rPr>
          <w:rFonts w:eastAsiaTheme="minorEastAsia"/>
        </w:rPr>
        <w:t>f</w:t>
      </w:r>
      <w:r w:rsidRPr="24C209F9">
        <w:rPr>
          <w:rFonts w:eastAsiaTheme="minorEastAsia"/>
        </w:rPr>
        <w:t>aculty member may be disciplined or terminated for refusing an overload assignment.</w:t>
      </w:r>
    </w:p>
    <w:p w14:paraId="70EF465E" w14:textId="25A1B277" w:rsidR="00051CB2" w:rsidRDefault="005253AF" w:rsidP="003B0232">
      <w:pPr>
        <w:pStyle w:val="ListParagraph"/>
        <w:spacing w:after="240"/>
        <w:contextualSpacing w:val="0"/>
        <w:rPr>
          <w:rFonts w:eastAsiaTheme="minorEastAsia"/>
        </w:rPr>
      </w:pPr>
      <w:r w:rsidRPr="005253AF">
        <w:rPr>
          <w:rFonts w:eastAsiaTheme="minorEastAsia"/>
        </w:rPr>
        <w:t xml:space="preserve">Appointments for which compensation is paid, in whole or in part, with </w:t>
      </w:r>
      <w:del w:id="21" w:author="Office of the Provost" w:date="2026-01-07T13:44:00Z" w16du:dateUtc="2026-01-07T21:44:00Z">
        <w:r w:rsidRPr="005253AF" w:rsidDel="00074ADB">
          <w:rPr>
            <w:rFonts w:eastAsiaTheme="minorEastAsia"/>
          </w:rPr>
          <w:delText xml:space="preserve">federal </w:delText>
        </w:r>
      </w:del>
      <w:ins w:id="22" w:author="Office of the Provost" w:date="2026-01-07T13:44:00Z" w16du:dateUtc="2026-01-07T21:44:00Z">
        <w:r w:rsidR="00074ADB">
          <w:rPr>
            <w:rFonts w:eastAsiaTheme="minorEastAsia"/>
          </w:rPr>
          <w:t>sponsored</w:t>
        </w:r>
        <w:r w:rsidR="00074ADB" w:rsidRPr="005253AF">
          <w:rPr>
            <w:rFonts w:eastAsiaTheme="minorEastAsia"/>
          </w:rPr>
          <w:t xml:space="preserve"> </w:t>
        </w:r>
      </w:ins>
      <w:r w:rsidRPr="005253AF">
        <w:rPr>
          <w:rFonts w:eastAsiaTheme="minorEastAsia"/>
        </w:rPr>
        <w:t xml:space="preserve">funds may be ineligible for overload </w:t>
      </w:r>
      <w:proofErr w:type="gramStart"/>
      <w:r w:rsidRPr="005253AF">
        <w:rPr>
          <w:rFonts w:eastAsiaTheme="minorEastAsia"/>
        </w:rPr>
        <w:t>appointment</w:t>
      </w:r>
      <w:proofErr w:type="gramEnd"/>
      <w:r w:rsidRPr="005253AF">
        <w:rPr>
          <w:rFonts w:eastAsiaTheme="minorEastAsia"/>
        </w:rPr>
        <w:t xml:space="preserve"> or compensation.</w:t>
      </w:r>
    </w:p>
    <w:p w14:paraId="1C68B3AA" w14:textId="77777777" w:rsidR="00051CB2" w:rsidRDefault="00051CB2">
      <w:pPr>
        <w:rPr>
          <w:rFonts w:eastAsiaTheme="minorEastAsia"/>
        </w:rPr>
      </w:pPr>
      <w:r>
        <w:rPr>
          <w:rFonts w:eastAsiaTheme="minorEastAsia"/>
        </w:rPr>
        <w:br w:type="page"/>
      </w:r>
    </w:p>
    <w:p w14:paraId="6EA7B2E2" w14:textId="1A756EA9" w:rsidR="24C209F9" w:rsidRPr="003B0232" w:rsidRDefault="00AC1817" w:rsidP="002D470A">
      <w:pPr>
        <w:pStyle w:val="Heading2"/>
      </w:pPr>
      <w:r w:rsidRPr="24C209F9">
        <w:lastRenderedPageBreak/>
        <w:t>General Teaching, Advising and Student Contact Expectations</w:t>
      </w:r>
    </w:p>
    <w:p w14:paraId="410BB9A7" w14:textId="52547485" w:rsidR="24C209F9" w:rsidRPr="003B0232" w:rsidRDefault="00AC1817" w:rsidP="002D470A">
      <w:pPr>
        <w:pStyle w:val="Heading3"/>
      </w:pPr>
      <w:r w:rsidRPr="24C209F9">
        <w:t>Advising and Student Contac</w:t>
      </w:r>
      <w:r w:rsidR="003B0232">
        <w:t>t</w:t>
      </w:r>
    </w:p>
    <w:p w14:paraId="24DDC707" w14:textId="77777777" w:rsidR="00AC1817" w:rsidRDefault="00AC1817" w:rsidP="003B0232">
      <w:pPr>
        <w:pStyle w:val="Heading4"/>
      </w:pPr>
      <w:r w:rsidRPr="24C209F9">
        <w:t>General Advising Expectations</w:t>
      </w:r>
    </w:p>
    <w:p w14:paraId="22533C93" w14:textId="43F03CD8" w:rsidR="00AC1817" w:rsidRPr="003B0232" w:rsidRDefault="00AC1817" w:rsidP="00652756">
      <w:pPr>
        <w:pStyle w:val="ListParagraph"/>
        <w:spacing w:after="240"/>
        <w:ind w:left="1800"/>
        <w:contextualSpacing w:val="0"/>
        <w:rPr>
          <w:rFonts w:eastAsiaTheme="minorEastAsia"/>
        </w:rPr>
      </w:pPr>
      <w:r w:rsidRPr="24C209F9">
        <w:rPr>
          <w:rFonts w:eastAsiaTheme="minorEastAsia"/>
        </w:rPr>
        <w:t>All</w:t>
      </w:r>
      <w:r w:rsidR="00B53158">
        <w:rPr>
          <w:rFonts w:eastAsiaTheme="minorEastAsia"/>
        </w:rPr>
        <w:t xml:space="preserve"> </w:t>
      </w:r>
      <w:r w:rsidR="0037727F">
        <w:rPr>
          <w:rFonts w:eastAsiaTheme="minorEastAsia"/>
        </w:rPr>
        <w:t xml:space="preserve">instructional </w:t>
      </w:r>
      <w:r w:rsidRPr="24C209F9">
        <w:rPr>
          <w:rFonts w:eastAsiaTheme="minorEastAsia"/>
        </w:rPr>
        <w:t xml:space="preserve">faculty </w:t>
      </w:r>
      <w:r w:rsidR="00E11717">
        <w:rPr>
          <w:rFonts w:eastAsiaTheme="minorEastAsia"/>
        </w:rPr>
        <w:t>who</w:t>
      </w:r>
      <w:r w:rsidR="004A3519">
        <w:rPr>
          <w:rFonts w:eastAsiaTheme="minorEastAsia"/>
        </w:rPr>
        <w:t xml:space="preserve"> are</w:t>
      </w:r>
      <w:r w:rsidR="00E11717">
        <w:rPr>
          <w:rFonts w:eastAsiaTheme="minorEastAsia"/>
        </w:rPr>
        <w:t xml:space="preserve"> </w:t>
      </w:r>
      <w:r w:rsidR="00A06740" w:rsidRPr="0037727F">
        <w:rPr>
          <w:rFonts w:eastAsiaTheme="minorEastAsia"/>
          <w:color w:val="4472C4" w:themeColor="accent1"/>
        </w:rPr>
        <w:t>given</w:t>
      </w:r>
      <w:r w:rsidR="00E11717" w:rsidRPr="0037727F">
        <w:rPr>
          <w:rFonts w:eastAsiaTheme="minorEastAsia"/>
          <w:color w:val="4472C4" w:themeColor="accent1"/>
        </w:rPr>
        <w:t xml:space="preserve"> instructional </w:t>
      </w:r>
      <w:r w:rsidR="002C014B" w:rsidRPr="0037727F">
        <w:rPr>
          <w:rFonts w:eastAsiaTheme="minorEastAsia"/>
          <w:color w:val="4472C4" w:themeColor="accent1"/>
        </w:rPr>
        <w:t>assignments</w:t>
      </w:r>
      <w:r w:rsidR="00E11717" w:rsidRPr="0037727F">
        <w:rPr>
          <w:rFonts w:eastAsiaTheme="minorEastAsia"/>
          <w:color w:val="4472C4" w:themeColor="accent1"/>
        </w:rPr>
        <w:t xml:space="preserve"> in the COE </w:t>
      </w:r>
      <w:r w:rsidRPr="0037727F">
        <w:rPr>
          <w:rFonts w:eastAsiaTheme="minorEastAsia"/>
          <w:color w:val="4472C4" w:themeColor="accent1"/>
        </w:rPr>
        <w:t xml:space="preserve">are </w:t>
      </w:r>
      <w:r w:rsidRPr="24C209F9">
        <w:rPr>
          <w:rFonts w:eastAsiaTheme="minorEastAsia"/>
        </w:rPr>
        <w:t xml:space="preserve">expected to advise and mentor students who take their courses insofar as this is considered a normal part of teaching courses. Faculty may also be called upon to provide academic advising for students they have not taught in </w:t>
      </w:r>
      <w:proofErr w:type="gramStart"/>
      <w:r w:rsidRPr="24C209F9">
        <w:rPr>
          <w:rFonts w:eastAsiaTheme="minorEastAsia"/>
        </w:rPr>
        <w:t>courses</w:t>
      </w:r>
      <w:proofErr w:type="gramEnd"/>
      <w:r w:rsidRPr="24C209F9">
        <w:rPr>
          <w:rFonts w:eastAsiaTheme="minorEastAsia"/>
        </w:rPr>
        <w:t xml:space="preserve"> but who are enrolled in programs for which they serve as faculty. Faculty </w:t>
      </w:r>
      <w:bookmarkStart w:id="23" w:name="_Hlk159596207"/>
      <w:r w:rsidR="00E11717" w:rsidRPr="0037727F">
        <w:rPr>
          <w:rFonts w:eastAsiaTheme="minorEastAsia"/>
          <w:color w:val="4472C4" w:themeColor="accent1"/>
        </w:rPr>
        <w:t xml:space="preserve">who </w:t>
      </w:r>
      <w:r w:rsidR="004A3519" w:rsidRPr="0037727F">
        <w:rPr>
          <w:rFonts w:eastAsiaTheme="minorEastAsia"/>
          <w:color w:val="4472C4" w:themeColor="accent1"/>
        </w:rPr>
        <w:t xml:space="preserve">are </w:t>
      </w:r>
      <w:r w:rsidR="00A06740" w:rsidRPr="0037727F">
        <w:rPr>
          <w:rFonts w:eastAsiaTheme="minorEastAsia"/>
          <w:color w:val="4472C4" w:themeColor="accent1"/>
        </w:rPr>
        <w:t>given</w:t>
      </w:r>
      <w:r w:rsidR="002C014B" w:rsidRPr="0037727F">
        <w:rPr>
          <w:rFonts w:eastAsiaTheme="minorEastAsia"/>
          <w:color w:val="4472C4" w:themeColor="accent1"/>
        </w:rPr>
        <w:t xml:space="preserve"> instructional assignments</w:t>
      </w:r>
      <w:r w:rsidR="00E11717" w:rsidRPr="0037727F">
        <w:rPr>
          <w:rFonts w:eastAsiaTheme="minorEastAsia"/>
          <w:color w:val="4472C4" w:themeColor="accent1"/>
        </w:rPr>
        <w:t xml:space="preserve"> in the COE</w:t>
      </w:r>
      <w:bookmarkEnd w:id="23"/>
      <w:r w:rsidR="00E11717" w:rsidRPr="0037727F">
        <w:rPr>
          <w:rFonts w:eastAsiaTheme="minorEastAsia"/>
          <w:color w:val="4472C4" w:themeColor="accent1"/>
        </w:rPr>
        <w:t xml:space="preserve"> </w:t>
      </w:r>
      <w:r w:rsidRPr="24C209F9">
        <w:rPr>
          <w:rFonts w:eastAsiaTheme="minorEastAsia"/>
        </w:rPr>
        <w:t>should be willing to write recommendation letters and serve as references for students with whom they have interacted in courses or other contexts.</w:t>
      </w:r>
    </w:p>
    <w:p w14:paraId="6E4797F6" w14:textId="77777777" w:rsidR="00AC1817" w:rsidRDefault="00AC1817" w:rsidP="003B0232">
      <w:pPr>
        <w:pStyle w:val="Heading4"/>
      </w:pPr>
      <w:r w:rsidRPr="24C209F9">
        <w:t>Office Hours and Student Contact</w:t>
      </w:r>
    </w:p>
    <w:p w14:paraId="0662D3F8" w14:textId="68AA5630" w:rsidR="00AC1817" w:rsidRPr="00652756" w:rsidRDefault="29537B92" w:rsidP="00652756">
      <w:pPr>
        <w:widowControl w:val="0"/>
        <w:tabs>
          <w:tab w:val="left" w:pos="1799"/>
        </w:tabs>
        <w:spacing w:after="240"/>
        <w:ind w:left="1800"/>
        <w:rPr>
          <w:rFonts w:eastAsiaTheme="minorEastAsia"/>
          <w:color w:val="000000" w:themeColor="text1"/>
        </w:rPr>
      </w:pPr>
      <w:r w:rsidRPr="50CCE318">
        <w:rPr>
          <w:rFonts w:eastAsiaTheme="minorEastAsia"/>
          <w:color w:val="4472C4" w:themeColor="accent1"/>
        </w:rPr>
        <w:t xml:space="preserve">All faculty </w:t>
      </w:r>
      <w:r w:rsidR="00E11717" w:rsidRPr="50CCE318">
        <w:rPr>
          <w:rFonts w:eastAsiaTheme="minorEastAsia"/>
          <w:color w:val="4472C4" w:themeColor="accent1"/>
        </w:rPr>
        <w:t xml:space="preserve">who are </w:t>
      </w:r>
      <w:r w:rsidR="00A06740" w:rsidRPr="50CCE318">
        <w:rPr>
          <w:rFonts w:eastAsiaTheme="minorEastAsia"/>
          <w:color w:val="4472C4" w:themeColor="accent1"/>
        </w:rPr>
        <w:t>given instructional assignments</w:t>
      </w:r>
      <w:r w:rsidR="00E11717" w:rsidRPr="50CCE318">
        <w:rPr>
          <w:rFonts w:eastAsiaTheme="minorEastAsia"/>
          <w:color w:val="4472C4" w:themeColor="accent1"/>
        </w:rPr>
        <w:t xml:space="preserve"> in the COE </w:t>
      </w:r>
      <w:r w:rsidRPr="50CCE318">
        <w:rPr>
          <w:rFonts w:eastAsiaTheme="minorEastAsia"/>
          <w:color w:val="4472C4" w:themeColor="accent1"/>
        </w:rPr>
        <w:t xml:space="preserve">are expected to make themselves available to students through </w:t>
      </w:r>
      <w:r w:rsidR="006B7434">
        <w:rPr>
          <w:rFonts w:eastAsiaTheme="minorEastAsia"/>
          <w:color w:val="4472C4" w:themeColor="accent1"/>
        </w:rPr>
        <w:t xml:space="preserve">at least two </w:t>
      </w:r>
      <w:r w:rsidRPr="50CCE318">
        <w:rPr>
          <w:rFonts w:eastAsiaTheme="minorEastAsia"/>
          <w:color w:val="4472C4" w:themeColor="accent1"/>
        </w:rPr>
        <w:t>office hours</w:t>
      </w:r>
      <w:r w:rsidR="006B7434">
        <w:rPr>
          <w:rFonts w:eastAsiaTheme="minorEastAsia"/>
          <w:color w:val="4472C4" w:themeColor="accent1"/>
        </w:rPr>
        <w:t xml:space="preserve"> per week</w:t>
      </w:r>
      <w:r w:rsidRPr="50CCE318">
        <w:rPr>
          <w:rFonts w:eastAsiaTheme="minorEastAsia"/>
          <w:color w:val="4472C4" w:themeColor="accent1"/>
        </w:rPr>
        <w:t xml:space="preserve"> and/or appointments during the terms in which they teach. They should also make themselves reasonably available to students via email and/or other appropriate online media throughout the academic year</w:t>
      </w:r>
      <w:r w:rsidRPr="50CCE318">
        <w:rPr>
          <w:rFonts w:eastAsiaTheme="minorEastAsia"/>
          <w:color w:val="000000" w:themeColor="text1"/>
        </w:rPr>
        <w:t>.</w:t>
      </w:r>
    </w:p>
    <w:p w14:paraId="77F8926B" w14:textId="06C140D1" w:rsidR="24C209F9" w:rsidRPr="000265A5" w:rsidRDefault="001B38DE" w:rsidP="002D470A">
      <w:pPr>
        <w:pStyle w:val="Heading3"/>
      </w:pPr>
      <w:r w:rsidRPr="24C209F9">
        <w:t>General Expectations in Teaching</w:t>
      </w:r>
      <w:r w:rsidR="009441D6" w:rsidRPr="24C209F9">
        <w:t xml:space="preserve"> (These sections reflect University Policy</w:t>
      </w:r>
      <w:r w:rsidR="00B66A5C" w:rsidRPr="24C209F9">
        <w:t>)</w:t>
      </w:r>
    </w:p>
    <w:p w14:paraId="4C41061F" w14:textId="77777777" w:rsidR="00AC1817" w:rsidRDefault="00AC1817" w:rsidP="003B0232">
      <w:pPr>
        <w:pStyle w:val="Heading4"/>
      </w:pPr>
      <w:r w:rsidRPr="24C209F9">
        <w:t>Course Content and Pedagogy</w:t>
      </w:r>
    </w:p>
    <w:p w14:paraId="6348D58C" w14:textId="01F99C42" w:rsidR="00AC1817" w:rsidRPr="000265A5" w:rsidRDefault="00AC1817" w:rsidP="000265A5">
      <w:pPr>
        <w:pStyle w:val="ListParagraph"/>
        <w:spacing w:after="240"/>
        <w:ind w:left="1800"/>
        <w:contextualSpacing w:val="0"/>
        <w:rPr>
          <w:rFonts w:eastAsiaTheme="minorEastAsia"/>
        </w:rPr>
      </w:pPr>
      <w:r w:rsidRPr="24C209F9">
        <w:rPr>
          <w:rFonts w:eastAsiaTheme="minorEastAsia"/>
        </w:rPr>
        <w:t xml:space="preserve">When courses are approved by the University Committee on Courses through the shared governance process, the parameters of the course apply to any faculty member that teaches that course. For any assigned course, faculty are expected to cover the course as approved, including the content described in the course description, any special pedagogies approved at the university level, and the approved learning goals. Faculty are of course free to cover additional </w:t>
      </w:r>
      <w:r w:rsidR="00A96C3F" w:rsidRPr="24C209F9">
        <w:rPr>
          <w:rFonts w:eastAsiaTheme="minorEastAsia"/>
        </w:rPr>
        <w:t xml:space="preserve">relevant </w:t>
      </w:r>
      <w:r w:rsidRPr="24C209F9">
        <w:rPr>
          <w:rFonts w:eastAsiaTheme="minorEastAsia"/>
        </w:rPr>
        <w:t>content as time allows and employ other pedagogies. In addition, faculty can modify the parameters of the course through the shared governance process.</w:t>
      </w:r>
    </w:p>
    <w:p w14:paraId="7C3548E0" w14:textId="77777777" w:rsidR="00AC1817" w:rsidRDefault="00AC1817" w:rsidP="00AC3F97">
      <w:pPr>
        <w:pStyle w:val="Heading4"/>
      </w:pPr>
      <w:r w:rsidRPr="24C209F9">
        <w:t>Course Revisions</w:t>
      </w:r>
    </w:p>
    <w:p w14:paraId="7A37C193" w14:textId="3BE6F026" w:rsidR="00AC1817" w:rsidRPr="000265A5" w:rsidRDefault="00AC1817" w:rsidP="000265A5">
      <w:pPr>
        <w:pStyle w:val="ListParagraph"/>
        <w:spacing w:after="240"/>
        <w:ind w:left="1800"/>
        <w:contextualSpacing w:val="0"/>
        <w:rPr>
          <w:rFonts w:eastAsiaTheme="minorEastAsia"/>
        </w:rPr>
      </w:pPr>
      <w:r w:rsidRPr="24C209F9">
        <w:rPr>
          <w:rFonts w:eastAsiaTheme="minorEastAsia"/>
        </w:rPr>
        <w:t>Faculty are expected to revise their courses as needed to incorporate advances in academic content and pedagogy, and to ensure their courses continue to promote the learning outcomes of the departments and programs of which they are a part.</w:t>
      </w:r>
    </w:p>
    <w:p w14:paraId="480A13BF" w14:textId="77777777" w:rsidR="00AC1817" w:rsidRDefault="00AC1817" w:rsidP="00AC3F97">
      <w:pPr>
        <w:pStyle w:val="Heading4"/>
      </w:pPr>
      <w:r w:rsidRPr="24C209F9">
        <w:t>Syllabi</w:t>
      </w:r>
    </w:p>
    <w:p w14:paraId="61CDEED4" w14:textId="5960B43E" w:rsidR="001B38DE" w:rsidRPr="000265A5" w:rsidRDefault="00AC1817" w:rsidP="000265A5">
      <w:pPr>
        <w:pStyle w:val="ListParagraph"/>
        <w:spacing w:after="240"/>
        <w:ind w:left="1800"/>
        <w:contextualSpacing w:val="0"/>
        <w:rPr>
          <w:rFonts w:eastAsiaTheme="minorEastAsia"/>
          <w:color w:val="4472C4" w:themeColor="accent1"/>
        </w:rPr>
      </w:pPr>
      <w:bookmarkStart w:id="24" w:name="_Int_R1ftt7U5"/>
      <w:r w:rsidRPr="65AA4607">
        <w:rPr>
          <w:rFonts w:eastAsiaTheme="minorEastAsia"/>
        </w:rPr>
        <w:t>Faculty</w:t>
      </w:r>
      <w:bookmarkEnd w:id="24"/>
      <w:r w:rsidRPr="65AA4607">
        <w:rPr>
          <w:rFonts w:eastAsiaTheme="minorEastAsia"/>
        </w:rPr>
        <w:t xml:space="preserve"> will adhere to the </w:t>
      </w:r>
      <w:hyperlink r:id="rId11">
        <w:r w:rsidRPr="65AA4607">
          <w:rPr>
            <w:rStyle w:val="Hyperlink"/>
            <w:rFonts w:eastAsiaTheme="minorEastAsia"/>
          </w:rPr>
          <w:t xml:space="preserve">university </w:t>
        </w:r>
        <w:r w:rsidR="0B9CE87D" w:rsidRPr="65AA4607">
          <w:rPr>
            <w:rStyle w:val="Hyperlink"/>
            <w:rFonts w:eastAsiaTheme="minorEastAsia"/>
          </w:rPr>
          <w:t>S</w:t>
        </w:r>
        <w:r w:rsidRPr="65AA4607">
          <w:rPr>
            <w:rStyle w:val="Hyperlink"/>
            <w:rFonts w:eastAsiaTheme="minorEastAsia"/>
          </w:rPr>
          <w:t xml:space="preserve">yllabus </w:t>
        </w:r>
        <w:r w:rsidR="502431F0" w:rsidRPr="65AA4607">
          <w:rPr>
            <w:rStyle w:val="Hyperlink"/>
            <w:rFonts w:eastAsiaTheme="minorEastAsia"/>
          </w:rPr>
          <w:t>p</w:t>
        </w:r>
        <w:r w:rsidRPr="65AA4607">
          <w:rPr>
            <w:rStyle w:val="Hyperlink"/>
            <w:rFonts w:eastAsiaTheme="minorEastAsia"/>
          </w:rPr>
          <w:t>olicy</w:t>
        </w:r>
      </w:hyperlink>
      <w:r w:rsidRPr="65AA4607">
        <w:rPr>
          <w:rFonts w:eastAsiaTheme="minorEastAsia"/>
        </w:rPr>
        <w:t xml:space="preserve">, which describes when a syllabus is required, how and when it is to be distributed to students in a course, and the </w:t>
      </w:r>
      <w:r w:rsidRPr="65AA4607">
        <w:rPr>
          <w:rFonts w:eastAsiaTheme="minorEastAsia"/>
        </w:rPr>
        <w:lastRenderedPageBreak/>
        <w:t>required elements of the syllabus.</w:t>
      </w:r>
      <w:r w:rsidR="4B62DA1F" w:rsidRPr="65AA4607">
        <w:rPr>
          <w:rFonts w:eastAsiaTheme="minorEastAsia"/>
        </w:rPr>
        <w:t xml:space="preserve"> </w:t>
      </w:r>
      <w:r w:rsidR="4B62DA1F" w:rsidRPr="00712040">
        <w:rPr>
          <w:rFonts w:eastAsiaTheme="minorEastAsia"/>
          <w:color w:val="4472C4" w:themeColor="accent1"/>
        </w:rPr>
        <w:t xml:space="preserve">Effective with this policy, all syllabi </w:t>
      </w:r>
      <w:r w:rsidR="61E52378" w:rsidRPr="00712040">
        <w:rPr>
          <w:rFonts w:eastAsiaTheme="minorEastAsia"/>
          <w:color w:val="4472C4" w:themeColor="accent1"/>
        </w:rPr>
        <w:t>will</w:t>
      </w:r>
      <w:r w:rsidR="79830E8B" w:rsidRPr="00712040">
        <w:rPr>
          <w:rFonts w:eastAsiaTheme="minorEastAsia"/>
          <w:color w:val="4472C4" w:themeColor="accent1"/>
        </w:rPr>
        <w:t xml:space="preserve"> be centrally maintained</w:t>
      </w:r>
      <w:r w:rsidR="6D21DB1B" w:rsidRPr="00712040">
        <w:rPr>
          <w:rFonts w:eastAsiaTheme="minorEastAsia"/>
          <w:color w:val="4472C4" w:themeColor="accent1"/>
        </w:rPr>
        <w:t xml:space="preserve"> and available for college and university accreditation activities. </w:t>
      </w:r>
    </w:p>
    <w:p w14:paraId="4AD24161" w14:textId="63666144" w:rsidR="00BD73AC" w:rsidRDefault="009B3842" w:rsidP="00AC3F97">
      <w:pPr>
        <w:pStyle w:val="Heading4"/>
      </w:pPr>
      <w:r w:rsidRPr="24C209F9">
        <w:t xml:space="preserve">Student </w:t>
      </w:r>
      <w:r w:rsidR="00BD73AC" w:rsidRPr="24C209F9">
        <w:t>Attendance and Engagement</w:t>
      </w:r>
    </w:p>
    <w:p w14:paraId="15409881" w14:textId="793E01A4" w:rsidR="00CC34EA" w:rsidRPr="00FE20DA" w:rsidRDefault="00BD73AC" w:rsidP="00FE20DA">
      <w:pPr>
        <w:pStyle w:val="ListParagraph"/>
        <w:spacing w:after="240"/>
        <w:ind w:left="1800"/>
        <w:contextualSpacing w:val="0"/>
        <w:rPr>
          <w:rFonts w:eastAsiaTheme="minorEastAsia"/>
        </w:rPr>
      </w:pPr>
      <w:r w:rsidRPr="24C209F9">
        <w:rPr>
          <w:rFonts w:eastAsiaTheme="minorEastAsia"/>
        </w:rPr>
        <w:t>Faculty will adhere to the</w:t>
      </w:r>
      <w:r w:rsidR="00CF6300" w:rsidRPr="24C209F9">
        <w:rPr>
          <w:rFonts w:eastAsiaTheme="minorEastAsia"/>
        </w:rPr>
        <w:t xml:space="preserve"> </w:t>
      </w:r>
      <w:hyperlink r:id="rId12">
        <w:r w:rsidR="00AB292F" w:rsidRPr="24C209F9">
          <w:rPr>
            <w:rStyle w:val="Hyperlink"/>
            <w:rFonts w:eastAsiaTheme="minorEastAsia"/>
          </w:rPr>
          <w:t>Course Attendance and Engagement policy</w:t>
        </w:r>
      </w:hyperlink>
      <w:r w:rsidR="00CF6300" w:rsidRPr="24C209F9">
        <w:rPr>
          <w:rFonts w:eastAsiaTheme="minorEastAsia"/>
        </w:rPr>
        <w:t xml:space="preserve"> passed by the University Senate.</w:t>
      </w:r>
    </w:p>
    <w:p w14:paraId="2AF650CA" w14:textId="77777777" w:rsidR="00CC34EA" w:rsidRPr="00CC34EA" w:rsidRDefault="00CC34EA" w:rsidP="00AC3F97">
      <w:pPr>
        <w:pStyle w:val="Heading4"/>
      </w:pPr>
      <w:r w:rsidRPr="00CC34EA">
        <w:t>Addressing Academic Misconduct </w:t>
      </w:r>
    </w:p>
    <w:p w14:paraId="2171E4A0" w14:textId="3D7F26A6" w:rsidR="00AC1817" w:rsidRPr="007E0073" w:rsidRDefault="00CC34EA" w:rsidP="007E0073">
      <w:pPr>
        <w:pStyle w:val="ListParagraph"/>
        <w:spacing w:after="240"/>
        <w:ind w:left="1800"/>
        <w:contextualSpacing w:val="0"/>
        <w:rPr>
          <w:rFonts w:eastAsiaTheme="minorEastAsia"/>
        </w:rPr>
      </w:pPr>
      <w:r w:rsidRPr="00CC34EA">
        <w:rPr>
          <w:rFonts w:eastAsiaTheme="minorEastAsia"/>
        </w:rPr>
        <w:t xml:space="preserve">Faculty will follow the </w:t>
      </w:r>
      <w:hyperlink r:id="rId13" w:tgtFrame="_blank" w:history="1">
        <w:r w:rsidRPr="00CC34EA">
          <w:rPr>
            <w:rStyle w:val="Hyperlink"/>
            <w:rFonts w:eastAsiaTheme="minorEastAsia"/>
          </w:rPr>
          <w:t>university-defined process</w:t>
        </w:r>
      </w:hyperlink>
      <w:r w:rsidRPr="00CC34EA">
        <w:rPr>
          <w:rFonts w:eastAsiaTheme="minorEastAsia"/>
        </w:rPr>
        <w:t xml:space="preserve"> for addressing academic misconduct, which involves reporting allegations of academic misconduct directly to the Office of Student Conduct and Community Standards for adjudication before sanctions or grade penalties are applied. </w:t>
      </w:r>
    </w:p>
    <w:p w14:paraId="5022F051" w14:textId="77777777" w:rsidR="00AC1817" w:rsidRDefault="00AC1817" w:rsidP="00AC3F97">
      <w:pPr>
        <w:pStyle w:val="Heading4"/>
      </w:pPr>
      <w:r w:rsidRPr="24C209F9">
        <w:t>Use of Learning Management System (Canvas)</w:t>
      </w:r>
    </w:p>
    <w:p w14:paraId="4AC67D0C" w14:textId="77777777" w:rsidR="00867A9B" w:rsidRPr="00867A9B" w:rsidRDefault="00AC1817" w:rsidP="007E0073">
      <w:pPr>
        <w:pStyle w:val="ListParagraph"/>
        <w:spacing w:after="240"/>
        <w:ind w:left="1800"/>
        <w:contextualSpacing w:val="0"/>
        <w:rPr>
          <w:rFonts w:eastAsiaTheme="minorEastAsia"/>
        </w:rPr>
      </w:pPr>
      <w:r w:rsidRPr="24C209F9">
        <w:rPr>
          <w:rFonts w:eastAsiaTheme="minorEastAsia"/>
        </w:rPr>
        <w:t xml:space="preserve">Faculty will adhere to the </w:t>
      </w:r>
      <w:hyperlink r:id="rId14">
        <w:r w:rsidRPr="24C209F9">
          <w:rPr>
            <w:rStyle w:val="Hyperlink"/>
            <w:rFonts w:eastAsiaTheme="minorEastAsia"/>
          </w:rPr>
          <w:t>university Canvas policy</w:t>
        </w:r>
      </w:hyperlink>
      <w:r w:rsidRPr="24C209F9">
        <w:rPr>
          <w:rFonts w:eastAsiaTheme="minorEastAsia"/>
        </w:rPr>
        <w:t xml:space="preserve"> which describes when Canvas is required for courses and the minimum requirements for using Canvas.</w:t>
      </w:r>
      <w:r w:rsidR="00867A9B">
        <w:rPr>
          <w:rFonts w:eastAsiaTheme="minorEastAsia"/>
        </w:rPr>
        <w:t xml:space="preserve"> </w:t>
      </w:r>
      <w:r w:rsidR="00867A9B" w:rsidRPr="00867A9B">
        <w:rPr>
          <w:rFonts w:eastAsiaTheme="minorEastAsia"/>
        </w:rPr>
        <w:t>In all undergraduate courses with more than 5 students, the policy requires a published Canvas site by first day of class with: </w:t>
      </w:r>
    </w:p>
    <w:p w14:paraId="3BB80229" w14:textId="77777777" w:rsidR="00867A9B" w:rsidRPr="00867A9B" w:rsidRDefault="00867A9B" w:rsidP="007E0073">
      <w:pPr>
        <w:pStyle w:val="ListParagraph"/>
        <w:numPr>
          <w:ilvl w:val="0"/>
          <w:numId w:val="43"/>
        </w:numPr>
        <w:tabs>
          <w:tab w:val="clear" w:pos="720"/>
          <w:tab w:val="num" w:pos="2880"/>
        </w:tabs>
        <w:ind w:left="2520"/>
        <w:contextualSpacing w:val="0"/>
        <w:rPr>
          <w:rFonts w:eastAsiaTheme="minorEastAsia"/>
        </w:rPr>
      </w:pPr>
      <w:r w:rsidRPr="00867A9B">
        <w:rPr>
          <w:rFonts w:eastAsiaTheme="minorEastAsia"/>
        </w:rPr>
        <w:t>A syllabus posted </w:t>
      </w:r>
    </w:p>
    <w:p w14:paraId="1D37BFB4" w14:textId="77777777" w:rsidR="00867A9B" w:rsidRPr="00867A9B" w:rsidRDefault="00867A9B" w:rsidP="007E0073">
      <w:pPr>
        <w:pStyle w:val="ListParagraph"/>
        <w:numPr>
          <w:ilvl w:val="0"/>
          <w:numId w:val="44"/>
        </w:numPr>
        <w:tabs>
          <w:tab w:val="clear" w:pos="720"/>
          <w:tab w:val="num" w:pos="2880"/>
        </w:tabs>
        <w:ind w:left="2520"/>
        <w:contextualSpacing w:val="0"/>
        <w:rPr>
          <w:rFonts w:eastAsiaTheme="minorEastAsia"/>
        </w:rPr>
      </w:pPr>
      <w:r w:rsidRPr="00867A9B">
        <w:rPr>
          <w:rFonts w:eastAsiaTheme="minorEastAsia"/>
        </w:rPr>
        <w:t>Reported student progress by end of week 6 and then again before the final exam. In most cases, this is best accomplished by posting grades on Canvas. </w:t>
      </w:r>
    </w:p>
    <w:p w14:paraId="4FF8B418" w14:textId="2B411999" w:rsidR="00174C41" w:rsidRPr="00051CB2" w:rsidRDefault="00867A9B" w:rsidP="00174C41">
      <w:pPr>
        <w:pStyle w:val="ListParagraph"/>
        <w:numPr>
          <w:ilvl w:val="0"/>
          <w:numId w:val="45"/>
        </w:numPr>
        <w:tabs>
          <w:tab w:val="clear" w:pos="720"/>
          <w:tab w:val="num" w:pos="2880"/>
        </w:tabs>
        <w:spacing w:after="240"/>
        <w:ind w:left="2520"/>
        <w:contextualSpacing w:val="0"/>
        <w:rPr>
          <w:rFonts w:eastAsiaTheme="minorEastAsia"/>
        </w:rPr>
      </w:pPr>
      <w:r w:rsidRPr="00867A9B">
        <w:rPr>
          <w:rFonts w:eastAsiaTheme="minorEastAsia"/>
        </w:rPr>
        <w:t>Other essential course information </w:t>
      </w:r>
    </w:p>
    <w:p w14:paraId="2A4A29F5" w14:textId="2574A20D" w:rsidR="00071F62" w:rsidRPr="007E0073" w:rsidRDefault="00197659" w:rsidP="007E0073">
      <w:pPr>
        <w:pStyle w:val="Heading1"/>
      </w:pPr>
      <w:r w:rsidRPr="24C209F9">
        <w:t>TENURE RELATED</w:t>
      </w:r>
      <w:r w:rsidR="00C37764" w:rsidRPr="24C209F9">
        <w:t xml:space="preserve"> FACULTY </w:t>
      </w:r>
      <w:r w:rsidRPr="24C209F9">
        <w:t>PROFESSIONAL RESPONSIBILITIES</w:t>
      </w:r>
    </w:p>
    <w:p w14:paraId="7800C65D" w14:textId="7910E20A" w:rsidR="00197659" w:rsidRDefault="00197659" w:rsidP="00174C41">
      <w:pPr>
        <w:pStyle w:val="Heading2"/>
      </w:pPr>
      <w:r w:rsidRPr="24C209F9">
        <w:t>Workload Expectations for Tenure Related Faculty</w:t>
      </w:r>
    </w:p>
    <w:p w14:paraId="63D5E0E3" w14:textId="6AC4BA22" w:rsidR="24C209F9" w:rsidRPr="00867A9B" w:rsidRDefault="3FB6386B" w:rsidP="00636AF0">
      <w:pPr>
        <w:spacing w:after="240"/>
        <w:ind w:left="720"/>
        <w:rPr>
          <w:rFonts w:eastAsiaTheme="minorEastAsia"/>
          <w:color w:val="4472C4" w:themeColor="accent1"/>
        </w:rPr>
      </w:pPr>
      <w:r w:rsidRPr="00867A9B">
        <w:rPr>
          <w:rFonts w:eastAsiaTheme="minorEastAsia"/>
          <w:color w:val="4472C4" w:themeColor="accent1"/>
        </w:rPr>
        <w:t xml:space="preserve">The primary workload areas for Tenure Track Faculty (TTF) faculty in the COE are: (a) Teaching / </w:t>
      </w:r>
      <w:proofErr w:type="gramStart"/>
      <w:r w:rsidR="00641A12" w:rsidRPr="00867A9B">
        <w:rPr>
          <w:rFonts w:eastAsiaTheme="minorEastAsia"/>
          <w:color w:val="4472C4" w:themeColor="accent1"/>
        </w:rPr>
        <w:t xml:space="preserve">Supervision </w:t>
      </w:r>
      <w:r w:rsidRPr="00867A9B">
        <w:rPr>
          <w:rFonts w:eastAsiaTheme="minorEastAsia"/>
          <w:color w:val="4472C4" w:themeColor="accent1"/>
        </w:rPr>
        <w:t>,</w:t>
      </w:r>
      <w:proofErr w:type="gramEnd"/>
      <w:r w:rsidRPr="00867A9B">
        <w:rPr>
          <w:rFonts w:eastAsiaTheme="minorEastAsia"/>
          <w:color w:val="4472C4" w:themeColor="accent1"/>
        </w:rPr>
        <w:t xml:space="preserve"> (b) Research, and (c) Service.  </w:t>
      </w:r>
      <w:r w:rsidR="69FE4698" w:rsidRPr="00867A9B">
        <w:rPr>
          <w:rFonts w:eastAsiaTheme="minorEastAsia"/>
          <w:color w:val="4472C4" w:themeColor="accent1"/>
        </w:rPr>
        <w:t>A p</w:t>
      </w:r>
      <w:r w:rsidRPr="00867A9B">
        <w:rPr>
          <w:rFonts w:eastAsiaTheme="minorEastAsia"/>
          <w:color w:val="4472C4" w:themeColor="accent1"/>
        </w:rPr>
        <w:t xml:space="preserve">ossible additional workload area </w:t>
      </w:r>
      <w:r w:rsidR="6B1A260F" w:rsidRPr="00867A9B">
        <w:rPr>
          <w:rFonts w:eastAsiaTheme="minorEastAsia"/>
          <w:color w:val="4472C4" w:themeColor="accent1"/>
        </w:rPr>
        <w:t>is</w:t>
      </w:r>
      <w:r w:rsidRPr="00867A9B">
        <w:rPr>
          <w:rFonts w:eastAsiaTheme="minorEastAsia"/>
          <w:color w:val="4472C4" w:themeColor="accent1"/>
        </w:rPr>
        <w:t>: (d) Administration.</w:t>
      </w:r>
    </w:p>
    <w:p w14:paraId="0306D3DF" w14:textId="24B037F3" w:rsidR="24C209F9" w:rsidRPr="00636AF0" w:rsidRDefault="3FB6386B" w:rsidP="00636AF0">
      <w:pPr>
        <w:spacing w:after="240"/>
        <w:ind w:left="720"/>
        <w:rPr>
          <w:rFonts w:eastAsiaTheme="minorEastAsia"/>
          <w:color w:val="4472C4" w:themeColor="accent1"/>
        </w:rPr>
      </w:pPr>
      <w:r w:rsidRPr="00867A9B">
        <w:rPr>
          <w:rFonts w:eastAsiaTheme="minorEastAsia"/>
          <w:color w:val="4472C4" w:themeColor="accent1"/>
        </w:rPr>
        <w:t xml:space="preserve">In addition to teaching assigned courses and advising and mentoring students, TTF are expected to engage in research (or scholarship), and service over the calendar </w:t>
      </w:r>
      <w:proofErr w:type="gramStart"/>
      <w:r w:rsidRPr="00867A9B">
        <w:rPr>
          <w:rFonts w:eastAsiaTheme="minorEastAsia"/>
          <w:color w:val="4472C4" w:themeColor="accent1"/>
        </w:rPr>
        <w:t>year,</w:t>
      </w:r>
      <w:proofErr w:type="gramEnd"/>
      <w:r w:rsidRPr="00867A9B">
        <w:rPr>
          <w:rFonts w:eastAsiaTheme="minorEastAsia"/>
          <w:color w:val="4472C4" w:themeColor="accent1"/>
        </w:rPr>
        <w:t xml:space="preserve"> commensurate with a 9- or 12-month appointment. As a general guideline, full-time TTF should spend approximately 40% of their effort on research, 40% on teaching, and 20% on service during an academic year. Assignment of professional responsibilities shall reflect a realistic balance of duties consistent with the criteria for annual review and promotion review.</w:t>
      </w:r>
    </w:p>
    <w:p w14:paraId="1CF585F0" w14:textId="05F7013F" w:rsidR="003D03CF" w:rsidRDefault="004A50D7" w:rsidP="00636AF0">
      <w:pPr>
        <w:pStyle w:val="Heading3"/>
      </w:pPr>
      <w:r w:rsidRPr="24C209F9">
        <w:t>Research, scholarship, or creative activities</w:t>
      </w:r>
    </w:p>
    <w:p w14:paraId="65FCE867" w14:textId="78B1BE74" w:rsidR="00C37764" w:rsidRPr="00C53AD7" w:rsidRDefault="3C0D0802" w:rsidP="00C53AD7">
      <w:pPr>
        <w:pStyle w:val="BodyA"/>
        <w:tabs>
          <w:tab w:val="left" w:pos="3420"/>
        </w:tabs>
        <w:spacing w:after="240"/>
        <w:ind w:left="1220"/>
        <w:rPr>
          <w:rFonts w:asciiTheme="minorHAnsi" w:eastAsiaTheme="minorEastAsia" w:hAnsiTheme="minorHAnsi" w:cstheme="minorBidi"/>
          <w:color w:val="4472C4" w:themeColor="accent1"/>
          <w:sz w:val="24"/>
          <w:szCs w:val="24"/>
        </w:rPr>
      </w:pPr>
      <w:r w:rsidRPr="00867A9B">
        <w:rPr>
          <w:rFonts w:asciiTheme="minorHAnsi" w:eastAsiaTheme="minorEastAsia" w:hAnsiTheme="minorHAnsi" w:cstheme="minorBidi"/>
          <w:color w:val="4472C4" w:themeColor="accent1"/>
          <w:sz w:val="24"/>
          <w:szCs w:val="24"/>
        </w:rPr>
        <w:t xml:space="preserve">Tenure-track faculty are expected to pursue an active program of research or scholarship appropriate to their professional qualifications, expertise, and evolving professional </w:t>
      </w:r>
      <w:r w:rsidRPr="00867A9B">
        <w:rPr>
          <w:rFonts w:asciiTheme="minorHAnsi" w:eastAsiaTheme="minorEastAsia" w:hAnsiTheme="minorHAnsi" w:cstheme="minorBidi"/>
          <w:color w:val="4472C4" w:themeColor="accent1"/>
          <w:sz w:val="24"/>
          <w:szCs w:val="24"/>
        </w:rPr>
        <w:lastRenderedPageBreak/>
        <w:t xml:space="preserve">interests; and to disseminate the results of this effort through publication and other forms of professional dissemination. For purposes of workload calculation, scholarship is considered a reasonably broad category that includes numerous faculty-directed and faculty-initiated scholarly and creative activities, including, for example: (a) publication of books (i.e., academic press and trade press), (b) publication of articles in peer-reviewed journals, (c) publication of other scholarly work (e.g., book chapters, non-refereed journal articles, practitioner and public-facing publications,  technical reports); (d) keynote addresses, peer reviewed presentations, and non-peer-reviewed presentations at national or international academic professional organizations, and (e) grant development and grant management activities. Individual faculty research programs are monitored, evaluated, and rewarded through established annual review, promotion and tenure review, post-tenure review, and merit review processes. </w:t>
      </w:r>
    </w:p>
    <w:p w14:paraId="1646B408" w14:textId="0F639434" w:rsidR="00C37764" w:rsidRPr="00C53AD7" w:rsidRDefault="3C0D0802" w:rsidP="00C53AD7">
      <w:pPr>
        <w:pStyle w:val="BodyA"/>
        <w:widowControl w:val="0"/>
        <w:tabs>
          <w:tab w:val="left" w:pos="3420"/>
        </w:tabs>
        <w:spacing w:after="240"/>
        <w:ind w:left="1220"/>
        <w:rPr>
          <w:rFonts w:asciiTheme="minorHAnsi" w:eastAsiaTheme="minorEastAsia" w:hAnsiTheme="minorHAnsi" w:cstheme="minorBidi"/>
          <w:color w:val="4472C4" w:themeColor="accent1"/>
          <w:sz w:val="24"/>
          <w:szCs w:val="24"/>
        </w:rPr>
      </w:pPr>
      <w:r w:rsidRPr="00867A9B">
        <w:rPr>
          <w:rFonts w:asciiTheme="minorHAnsi" w:eastAsiaTheme="minorEastAsia" w:hAnsiTheme="minorHAnsi" w:cstheme="minorBidi"/>
          <w:color w:val="4472C4" w:themeColor="accent1"/>
          <w:sz w:val="24"/>
          <w:szCs w:val="24"/>
        </w:rPr>
        <w:t>Faculty are also expected to engage in the advising and mentoring of graduate students. Research mentoring takes many forms, from co-authoring research manuscripts for publication or presentation and supervising students on research teams to consulting with students on research design and methodology. Further, faculty are expected to advise students through chairing and serving on thesis and dissertation committees.</w:t>
      </w:r>
    </w:p>
    <w:p w14:paraId="2184614F" w14:textId="2E4D5A76" w:rsidR="24C209F9" w:rsidRPr="00C53AD7" w:rsidRDefault="004A50D7" w:rsidP="002D470A">
      <w:pPr>
        <w:pStyle w:val="Heading3"/>
      </w:pPr>
      <w:r w:rsidRPr="24C209F9">
        <w:t>Teachin</w:t>
      </w:r>
      <w:r w:rsidR="00C53AD7">
        <w:t>g</w:t>
      </w:r>
    </w:p>
    <w:p w14:paraId="5B067B7C" w14:textId="0D67B884" w:rsidR="00AC1817" w:rsidRDefault="00F67791" w:rsidP="00636AF0">
      <w:pPr>
        <w:pStyle w:val="Heading4"/>
      </w:pPr>
      <w:r w:rsidRPr="24C209F9">
        <w:t>Standard Course Load</w:t>
      </w:r>
    </w:p>
    <w:p w14:paraId="6463EB1D" w14:textId="1EF8CC74" w:rsidR="0D5A4DE0" w:rsidRPr="00867A9B" w:rsidRDefault="0D5A4DE0" w:rsidP="00C53AD7">
      <w:pPr>
        <w:spacing w:after="240"/>
        <w:ind w:left="1800"/>
        <w:rPr>
          <w:rFonts w:eastAsiaTheme="minorEastAsia"/>
          <w:color w:val="4472C4" w:themeColor="accent1"/>
        </w:rPr>
      </w:pPr>
      <w:r w:rsidRPr="00867A9B">
        <w:rPr>
          <w:rFonts w:eastAsiaTheme="minorEastAsia"/>
          <w:color w:val="4472C4" w:themeColor="accent1"/>
        </w:rPr>
        <w:t xml:space="preserve">The standard teaching load for a full-time equivalent (FTE) faculty who is not taking a leadership role in </w:t>
      </w:r>
      <w:r w:rsidR="1C6E055F" w:rsidRPr="00867A9B">
        <w:rPr>
          <w:rFonts w:eastAsiaTheme="minorEastAsia"/>
          <w:color w:val="4472C4" w:themeColor="accent1"/>
        </w:rPr>
        <w:t>directing or applying for</w:t>
      </w:r>
      <w:r w:rsidR="00A61EEA" w:rsidRPr="00867A9B">
        <w:rPr>
          <w:rFonts w:eastAsiaTheme="minorEastAsia"/>
          <w:color w:val="4472C4" w:themeColor="accent1"/>
        </w:rPr>
        <w:t xml:space="preserve"> external research</w:t>
      </w:r>
      <w:r w:rsidR="1C6E055F" w:rsidRPr="00867A9B">
        <w:rPr>
          <w:rFonts w:eastAsiaTheme="minorEastAsia"/>
          <w:color w:val="4472C4" w:themeColor="accent1"/>
        </w:rPr>
        <w:t xml:space="preserve"> </w:t>
      </w:r>
      <w:r w:rsidRPr="00867A9B">
        <w:rPr>
          <w:rFonts w:eastAsiaTheme="minorEastAsia"/>
          <w:color w:val="4472C4" w:themeColor="accent1"/>
        </w:rPr>
        <w:t xml:space="preserve">funding is 5 courses. Courses must be at least 3 course credits (15-credit minimum). </w:t>
      </w:r>
    </w:p>
    <w:p w14:paraId="146F3E39" w14:textId="51E363D3" w:rsidR="24C209F9" w:rsidRPr="00867A9B" w:rsidRDefault="7E5BA8FB" w:rsidP="00C53AD7">
      <w:pPr>
        <w:spacing w:after="240"/>
        <w:ind w:left="1800"/>
        <w:rPr>
          <w:rFonts w:eastAsiaTheme="minorEastAsia"/>
          <w:color w:val="4472C4" w:themeColor="accent1"/>
        </w:rPr>
      </w:pPr>
      <w:r w:rsidRPr="451D92C3">
        <w:rPr>
          <w:rFonts w:eastAsiaTheme="minorEastAsia"/>
          <w:color w:val="4472C4" w:themeColor="accent1"/>
        </w:rPr>
        <w:t>However, all TTF are eligible for a</w:t>
      </w:r>
      <w:r w:rsidR="005A2E4A" w:rsidRPr="451D92C3">
        <w:rPr>
          <w:rFonts w:eastAsiaTheme="minorEastAsia"/>
          <w:color w:val="4472C4" w:themeColor="accent1"/>
        </w:rPr>
        <w:t xml:space="preserve"> reduction to a</w:t>
      </w:r>
      <w:r w:rsidRPr="451D92C3">
        <w:rPr>
          <w:rFonts w:eastAsiaTheme="minorEastAsia"/>
          <w:color w:val="4472C4" w:themeColor="accent1"/>
        </w:rPr>
        <w:t xml:space="preserve"> 4-course load (12-credit minimum) with the approval of the department head. To be eligible, faculty must take a leadership role (e.g., principal investigator, co-investigator) in directing or applying for </w:t>
      </w:r>
      <w:r w:rsidR="00A61EEA" w:rsidRPr="451D92C3">
        <w:rPr>
          <w:rFonts w:eastAsiaTheme="minorEastAsia"/>
          <w:color w:val="4472C4" w:themeColor="accent1"/>
        </w:rPr>
        <w:t xml:space="preserve">external research </w:t>
      </w:r>
      <w:r w:rsidRPr="451D92C3">
        <w:rPr>
          <w:rFonts w:eastAsiaTheme="minorEastAsia"/>
          <w:color w:val="4472C4" w:themeColor="accent1"/>
        </w:rPr>
        <w:t>funding</w:t>
      </w:r>
      <w:r w:rsidR="6C4B4EAC" w:rsidRPr="451D92C3">
        <w:rPr>
          <w:rFonts w:eastAsiaTheme="minorEastAsia"/>
          <w:color w:val="4472C4" w:themeColor="accent1"/>
        </w:rPr>
        <w:t>, as appropriate to their faculty rank</w:t>
      </w:r>
      <w:r w:rsidR="2E539605" w:rsidRPr="451D92C3">
        <w:rPr>
          <w:rFonts w:eastAsiaTheme="minorEastAsia"/>
          <w:color w:val="4472C4" w:themeColor="accent1"/>
        </w:rPr>
        <w:t>.</w:t>
      </w:r>
      <w:r w:rsidR="6C4B4EAC" w:rsidRPr="451D92C3">
        <w:rPr>
          <w:rFonts w:eastAsiaTheme="minorEastAsia"/>
          <w:color w:val="4472C4" w:themeColor="accent1"/>
        </w:rPr>
        <w:t xml:space="preserve"> </w:t>
      </w:r>
      <w:r w:rsidRPr="451D92C3">
        <w:rPr>
          <w:rFonts w:eastAsiaTheme="minorEastAsia"/>
          <w:color w:val="4472C4" w:themeColor="accent1"/>
        </w:rPr>
        <w:t xml:space="preserve"> </w:t>
      </w:r>
      <w:r w:rsidR="27FC1C50" w:rsidRPr="451D92C3">
        <w:rPr>
          <w:rFonts w:eastAsiaTheme="minorEastAsia"/>
          <w:color w:val="4472C4" w:themeColor="accent1"/>
        </w:rPr>
        <w:t>F</w:t>
      </w:r>
      <w:r w:rsidRPr="451D92C3">
        <w:rPr>
          <w:rFonts w:eastAsiaTheme="minorEastAsia"/>
          <w:color w:val="4472C4" w:themeColor="accent1"/>
        </w:rPr>
        <w:t xml:space="preserve">unding </w:t>
      </w:r>
      <w:r w:rsidR="49D42928" w:rsidRPr="451D92C3">
        <w:rPr>
          <w:rFonts w:eastAsiaTheme="minorEastAsia"/>
          <w:color w:val="4472C4" w:themeColor="accent1"/>
        </w:rPr>
        <w:t xml:space="preserve">should </w:t>
      </w:r>
      <w:r w:rsidRPr="451D92C3">
        <w:rPr>
          <w:rFonts w:eastAsiaTheme="minorEastAsia"/>
          <w:color w:val="4472C4" w:themeColor="accent1"/>
        </w:rPr>
        <w:t>include support for any required personnel and research infrastructure at the University of Oregon</w:t>
      </w:r>
      <w:r w:rsidR="00196C0D" w:rsidRPr="451D92C3">
        <w:rPr>
          <w:rFonts w:eastAsiaTheme="minorEastAsia"/>
          <w:color w:val="4472C4" w:themeColor="accent1"/>
        </w:rPr>
        <w:t xml:space="preserve"> (i.e., include F &amp; A costs and FTE to support personnel)</w:t>
      </w:r>
      <w:r w:rsidRPr="451D92C3">
        <w:rPr>
          <w:rFonts w:eastAsiaTheme="minorEastAsia"/>
          <w:color w:val="4472C4" w:themeColor="accent1"/>
        </w:rPr>
        <w:t>.  Upon recommendation of the department head, and with approval of the dean, faculty may also be eligible for a 4-course load for one academic year to complete a major scholarly book or equivalent research project.</w:t>
      </w:r>
    </w:p>
    <w:p w14:paraId="0FCADDBF" w14:textId="51A774D4" w:rsidR="24C209F9" w:rsidRPr="00C53AD7" w:rsidRDefault="0D5A4DE0" w:rsidP="00C53AD7">
      <w:pPr>
        <w:spacing w:after="240"/>
        <w:ind w:left="1800"/>
        <w:rPr>
          <w:rFonts w:eastAsiaTheme="minorEastAsia"/>
          <w:color w:val="4472C4" w:themeColor="accent1"/>
        </w:rPr>
      </w:pPr>
      <w:r w:rsidRPr="00867A9B">
        <w:rPr>
          <w:rFonts w:eastAsiaTheme="minorEastAsia"/>
          <w:color w:val="4472C4" w:themeColor="accent1"/>
        </w:rPr>
        <w:t xml:space="preserve">One course </w:t>
      </w:r>
      <w:proofErr w:type="gramStart"/>
      <w:r w:rsidRPr="00867A9B">
        <w:rPr>
          <w:rFonts w:eastAsiaTheme="minorEastAsia"/>
          <w:color w:val="4472C4" w:themeColor="accent1"/>
        </w:rPr>
        <w:t>in</w:t>
      </w:r>
      <w:proofErr w:type="gramEnd"/>
      <w:r w:rsidRPr="00867A9B">
        <w:rPr>
          <w:rFonts w:eastAsiaTheme="minorEastAsia"/>
          <w:color w:val="4472C4" w:themeColor="accent1"/>
        </w:rPr>
        <w:t xml:space="preserve"> the </w:t>
      </w:r>
      <w:r w:rsidR="09A33B88" w:rsidRPr="00867A9B">
        <w:rPr>
          <w:rFonts w:eastAsiaTheme="minorEastAsia"/>
          <w:color w:val="4472C4" w:themeColor="accent1"/>
        </w:rPr>
        <w:t>4</w:t>
      </w:r>
      <w:r w:rsidRPr="00867A9B">
        <w:rPr>
          <w:rFonts w:eastAsiaTheme="minorEastAsia"/>
          <w:color w:val="4472C4" w:themeColor="accent1"/>
        </w:rPr>
        <w:t xml:space="preserve">-course load or </w:t>
      </w:r>
      <w:proofErr w:type="gramStart"/>
      <w:r w:rsidRPr="00867A9B">
        <w:rPr>
          <w:rFonts w:eastAsiaTheme="minorEastAsia"/>
          <w:color w:val="4472C4" w:themeColor="accent1"/>
        </w:rPr>
        <w:t>in</w:t>
      </w:r>
      <w:proofErr w:type="gramEnd"/>
      <w:r w:rsidRPr="00867A9B">
        <w:rPr>
          <w:rFonts w:eastAsiaTheme="minorEastAsia"/>
          <w:color w:val="4472C4" w:themeColor="accent1"/>
        </w:rPr>
        <w:t xml:space="preserve"> the </w:t>
      </w:r>
      <w:r w:rsidR="56B6F3A0" w:rsidRPr="00867A9B">
        <w:rPr>
          <w:rFonts w:eastAsiaTheme="minorEastAsia"/>
          <w:color w:val="4472C4" w:themeColor="accent1"/>
        </w:rPr>
        <w:t>5</w:t>
      </w:r>
      <w:r w:rsidRPr="00867A9B">
        <w:rPr>
          <w:rFonts w:eastAsiaTheme="minorEastAsia"/>
          <w:color w:val="4472C4" w:themeColor="accent1"/>
        </w:rPr>
        <w:t>-course load may be a combination of 1- and 2-credit courses to equal at least 3-credits in total, that may be distributed across the academic year.</w:t>
      </w:r>
      <w:r w:rsidR="004E0F44" w:rsidRPr="00867A9B">
        <w:rPr>
          <w:rFonts w:eastAsiaTheme="minorEastAsia"/>
          <w:color w:val="4472C4" w:themeColor="accent1"/>
        </w:rPr>
        <w:t xml:space="preserve"> Under certain circumstances, additional 1- and 2-credit courses can be combined to count as additional courses, with the permission of the department head and the dean.  </w:t>
      </w:r>
    </w:p>
    <w:p w14:paraId="01AF0D68" w14:textId="118FBB1C" w:rsidR="24C209F9" w:rsidRPr="00C53AD7" w:rsidRDefault="0D5A4DE0" w:rsidP="00C53AD7">
      <w:pPr>
        <w:pStyle w:val="ListParagraph"/>
        <w:spacing w:after="240"/>
        <w:ind w:left="1800"/>
        <w:contextualSpacing w:val="0"/>
        <w:rPr>
          <w:rFonts w:eastAsiaTheme="minorEastAsia"/>
          <w:color w:val="4472C4" w:themeColor="accent1"/>
        </w:rPr>
      </w:pPr>
      <w:r w:rsidRPr="00867A9B">
        <w:rPr>
          <w:rFonts w:eastAsiaTheme="minorEastAsia"/>
          <w:color w:val="4472C4" w:themeColor="accent1"/>
        </w:rPr>
        <w:t xml:space="preserve">The standard teaching load does not typically include infrequent or time-limited teaching activities such as guest lecturing or occasional </w:t>
      </w:r>
      <w:r w:rsidR="00826471" w:rsidRPr="00867A9B">
        <w:rPr>
          <w:rFonts w:eastAsiaTheme="minorEastAsia"/>
          <w:color w:val="4472C4" w:themeColor="accent1"/>
        </w:rPr>
        <w:t xml:space="preserve">/ optional </w:t>
      </w:r>
      <w:r w:rsidRPr="00867A9B">
        <w:rPr>
          <w:rFonts w:eastAsiaTheme="minorEastAsia"/>
          <w:color w:val="4472C4" w:themeColor="accent1"/>
        </w:rPr>
        <w:t xml:space="preserve">independent study </w:t>
      </w:r>
      <w:r w:rsidRPr="00867A9B">
        <w:rPr>
          <w:rFonts w:eastAsiaTheme="minorEastAsia"/>
          <w:color w:val="4472C4" w:themeColor="accent1"/>
        </w:rPr>
        <w:lastRenderedPageBreak/>
        <w:t>courses.</w:t>
      </w:r>
      <w:r w:rsidR="00826471" w:rsidRPr="00867A9B">
        <w:rPr>
          <w:rFonts w:eastAsiaTheme="minorEastAsia"/>
          <w:color w:val="4472C4" w:themeColor="accent1"/>
        </w:rPr>
        <w:t xml:space="preserve"> In addition to the standard teaching load, a student’s program may also include independent study courses. When independent studies are optional or added to a student's existing program plan, faculty members are expected to maintain the university’s standards of student work and student-instructor engagement appropriate to the awarding of academic credit. In these occasional cases, independent study would not be counted as part of the regular teaching load and would be discussed with the Department Head as part of service, instruction, or research allocations as appropriate. When independent study courses are a central part of a student’s College of Education program and are assigned to all students who engage in the program, instruction of the course(s) would be counted as part of a faculty member’s regular teaching load based on the credits assigned.</w:t>
      </w:r>
    </w:p>
    <w:p w14:paraId="188BD9D0" w14:textId="333110D1" w:rsidR="00F67791" w:rsidRDefault="00F67791" w:rsidP="00636AF0">
      <w:pPr>
        <w:pStyle w:val="Heading4"/>
      </w:pPr>
      <w:r w:rsidRPr="24C209F9">
        <w:t>Adjustments to Standard Course Load</w:t>
      </w:r>
    </w:p>
    <w:p w14:paraId="66F39483" w14:textId="561E9647" w:rsidR="71F8B767" w:rsidRPr="00867A9B" w:rsidRDefault="71F8B767" w:rsidP="00C53AD7">
      <w:pPr>
        <w:widowControl w:val="0"/>
        <w:tabs>
          <w:tab w:val="left" w:pos="220"/>
          <w:tab w:val="left" w:pos="720"/>
        </w:tabs>
        <w:spacing w:after="240"/>
        <w:ind w:left="1800"/>
        <w:rPr>
          <w:rFonts w:eastAsiaTheme="minorEastAsia"/>
          <w:color w:val="4472C4" w:themeColor="accent1"/>
        </w:rPr>
      </w:pPr>
      <w:r w:rsidRPr="00867A9B">
        <w:rPr>
          <w:rFonts w:eastAsiaTheme="minorEastAsia"/>
          <w:color w:val="4472C4" w:themeColor="accent1"/>
        </w:rPr>
        <w:t xml:space="preserve">A course that </w:t>
      </w:r>
      <w:r w:rsidR="00C44E23" w:rsidRPr="00867A9B">
        <w:rPr>
          <w:rFonts w:eastAsiaTheme="minorEastAsia"/>
          <w:color w:val="4472C4" w:themeColor="accent1"/>
        </w:rPr>
        <w:t xml:space="preserve">needs to be </w:t>
      </w:r>
      <w:r w:rsidRPr="00867A9B">
        <w:rPr>
          <w:rFonts w:eastAsiaTheme="minorEastAsia"/>
          <w:color w:val="4472C4" w:themeColor="accent1"/>
        </w:rPr>
        <w:t>team-taught by two faculty members will typically count as half a course for each faculty member. If there are extraordinary</w:t>
      </w:r>
      <w:r w:rsidR="00F21DE2" w:rsidRPr="00867A9B">
        <w:rPr>
          <w:rFonts w:eastAsiaTheme="minorEastAsia"/>
          <w:color w:val="4472C4" w:themeColor="accent1"/>
        </w:rPr>
        <w:t xml:space="preserve"> </w:t>
      </w:r>
      <w:proofErr w:type="gramStart"/>
      <w:r w:rsidRPr="00867A9B">
        <w:rPr>
          <w:rFonts w:eastAsiaTheme="minorEastAsia"/>
          <w:color w:val="4472C4" w:themeColor="accent1"/>
        </w:rPr>
        <w:t>circumstances</w:t>
      </w:r>
      <w:r w:rsidR="00782D7D" w:rsidRPr="00867A9B">
        <w:rPr>
          <w:rFonts w:eastAsiaTheme="minorEastAsia"/>
          <w:color w:val="4472C4" w:themeColor="accent1"/>
        </w:rPr>
        <w:t xml:space="preserve">  that</w:t>
      </w:r>
      <w:proofErr w:type="gramEnd"/>
      <w:r w:rsidR="00782D7D" w:rsidRPr="00867A9B">
        <w:rPr>
          <w:rFonts w:eastAsiaTheme="minorEastAsia"/>
          <w:color w:val="4472C4" w:themeColor="accent1"/>
        </w:rPr>
        <w:t xml:space="preserve"> require two faculty members for the successful administration of the class then, a department head may approve a </w:t>
      </w:r>
      <w:r w:rsidRPr="00867A9B">
        <w:rPr>
          <w:rFonts w:eastAsiaTheme="minorEastAsia"/>
          <w:color w:val="4472C4" w:themeColor="accent1"/>
        </w:rPr>
        <w:t xml:space="preserve">team-taught course as a full course for each faculty member, </w:t>
      </w:r>
      <w:r w:rsidR="00782D7D" w:rsidRPr="00867A9B">
        <w:rPr>
          <w:rFonts w:eastAsiaTheme="minorEastAsia"/>
          <w:color w:val="4472C4" w:themeColor="accent1"/>
        </w:rPr>
        <w:t xml:space="preserve">provided </w:t>
      </w:r>
      <w:r w:rsidRPr="00867A9B">
        <w:rPr>
          <w:rFonts w:eastAsiaTheme="minorEastAsia"/>
          <w:color w:val="4472C4" w:themeColor="accent1"/>
        </w:rPr>
        <w:t>the unit can meet its instructional needs with existing resources.</w:t>
      </w:r>
    </w:p>
    <w:p w14:paraId="037DE25D" w14:textId="271E7E5A" w:rsidR="00475879" w:rsidRPr="00C53AD7" w:rsidRDefault="71F8B767" w:rsidP="00C53AD7">
      <w:pPr>
        <w:pStyle w:val="BodyA"/>
        <w:tabs>
          <w:tab w:val="left" w:pos="3420"/>
        </w:tabs>
        <w:spacing w:after="240"/>
        <w:ind w:left="1800"/>
        <w:rPr>
          <w:rFonts w:asciiTheme="minorHAnsi" w:eastAsiaTheme="minorEastAsia" w:hAnsiTheme="minorHAnsi" w:cstheme="minorBidi"/>
          <w:color w:val="4472C4" w:themeColor="accent1"/>
          <w:sz w:val="24"/>
          <w:szCs w:val="24"/>
        </w:rPr>
      </w:pPr>
      <w:r w:rsidRPr="00867A9B">
        <w:rPr>
          <w:rFonts w:asciiTheme="minorHAnsi" w:eastAsiaTheme="minorEastAsia" w:hAnsiTheme="minorHAnsi" w:cstheme="minorBidi"/>
          <w:color w:val="4472C4" w:themeColor="accent1"/>
          <w:sz w:val="24"/>
          <w:szCs w:val="24"/>
        </w:rPr>
        <w:t xml:space="preserve">Additional course load </w:t>
      </w:r>
      <w:r w:rsidR="005A2E4A" w:rsidRPr="00867A9B">
        <w:rPr>
          <w:rFonts w:asciiTheme="minorHAnsi" w:eastAsiaTheme="minorEastAsia" w:hAnsiTheme="minorHAnsi" w:cstheme="minorBidi"/>
          <w:color w:val="4472C4" w:themeColor="accent1"/>
          <w:sz w:val="24"/>
          <w:szCs w:val="24"/>
        </w:rPr>
        <w:t xml:space="preserve">releases </w:t>
      </w:r>
      <w:r w:rsidRPr="00867A9B">
        <w:rPr>
          <w:rFonts w:asciiTheme="minorHAnsi" w:eastAsiaTheme="minorEastAsia" w:hAnsiTheme="minorHAnsi" w:cstheme="minorBidi"/>
          <w:color w:val="4472C4" w:themeColor="accent1"/>
          <w:sz w:val="24"/>
          <w:szCs w:val="24"/>
        </w:rPr>
        <w:t xml:space="preserve">may be assigned to allow faculty to carry out </w:t>
      </w:r>
      <w:r w:rsidR="00DD6FFF" w:rsidRPr="00867A9B">
        <w:rPr>
          <w:rFonts w:asciiTheme="minorHAnsi" w:eastAsiaTheme="minorEastAsia" w:hAnsiTheme="minorHAnsi" w:cstheme="minorBidi"/>
          <w:color w:val="4472C4" w:themeColor="accent1"/>
          <w:sz w:val="24"/>
          <w:szCs w:val="24"/>
        </w:rPr>
        <w:t xml:space="preserve">supervision duties, </w:t>
      </w:r>
      <w:r w:rsidRPr="00867A9B">
        <w:rPr>
          <w:rFonts w:asciiTheme="minorHAnsi" w:eastAsiaTheme="minorEastAsia" w:hAnsiTheme="minorHAnsi" w:cstheme="minorBidi"/>
          <w:color w:val="4472C4" w:themeColor="accent1"/>
          <w:sz w:val="24"/>
          <w:szCs w:val="24"/>
        </w:rPr>
        <w:t>administrative responsibilities</w:t>
      </w:r>
      <w:r w:rsidR="00DD6FFF" w:rsidRPr="00867A9B">
        <w:rPr>
          <w:rFonts w:asciiTheme="minorHAnsi" w:eastAsiaTheme="minorEastAsia" w:hAnsiTheme="minorHAnsi" w:cstheme="minorBidi"/>
          <w:color w:val="4472C4" w:themeColor="accent1"/>
          <w:sz w:val="24"/>
          <w:szCs w:val="24"/>
        </w:rPr>
        <w:t>,</w:t>
      </w:r>
      <w:r w:rsidRPr="00867A9B">
        <w:rPr>
          <w:rFonts w:asciiTheme="minorHAnsi" w:eastAsiaTheme="minorEastAsia" w:hAnsiTheme="minorHAnsi" w:cstheme="minorBidi"/>
          <w:color w:val="4472C4" w:themeColor="accent1"/>
          <w:sz w:val="24"/>
          <w:szCs w:val="24"/>
        </w:rPr>
        <w:t xml:space="preserve"> or substantial service contributions (see Course Release provision), and course buyout may be approved for faculty receiving an external funding award (see Course Buyout provision). Tenure track </w:t>
      </w:r>
      <w:r w:rsidR="00F17E53" w:rsidRPr="00867A9B">
        <w:rPr>
          <w:rFonts w:asciiTheme="minorHAnsi" w:eastAsiaTheme="minorEastAsia" w:hAnsiTheme="minorHAnsi" w:cstheme="minorBidi"/>
          <w:color w:val="4472C4" w:themeColor="accent1"/>
          <w:sz w:val="24"/>
          <w:szCs w:val="24"/>
        </w:rPr>
        <w:t>faculty are</w:t>
      </w:r>
      <w:r w:rsidRPr="00867A9B">
        <w:rPr>
          <w:rFonts w:asciiTheme="minorHAnsi" w:eastAsiaTheme="minorEastAsia" w:hAnsiTheme="minorHAnsi" w:cstheme="minorBidi"/>
          <w:color w:val="4472C4" w:themeColor="accent1"/>
          <w:sz w:val="24"/>
          <w:szCs w:val="24"/>
        </w:rPr>
        <w:t xml:space="preserve"> expected to maintain a minimum instructional course load of at least one course (minimum 3 credits) each academic year. Exceptions are time-limited and require the authorization of the dean.</w:t>
      </w:r>
    </w:p>
    <w:p w14:paraId="69123966" w14:textId="20432DF6" w:rsidR="000B5613" w:rsidRDefault="004A50D7" w:rsidP="00C53AD7">
      <w:pPr>
        <w:pStyle w:val="Heading3"/>
      </w:pPr>
      <w:r w:rsidRPr="24C209F9">
        <w:t>Service</w:t>
      </w:r>
    </w:p>
    <w:p w14:paraId="4600720E" w14:textId="13578B71" w:rsidR="24C209F9" w:rsidRPr="00C53AD7" w:rsidRDefault="2D8A9DBF" w:rsidP="00C53AD7">
      <w:pPr>
        <w:keepNext/>
        <w:spacing w:after="240"/>
        <w:ind w:left="1220"/>
        <w:rPr>
          <w:rFonts w:eastAsiaTheme="minorEastAsia"/>
          <w:color w:val="4472C4" w:themeColor="accent1"/>
        </w:rPr>
      </w:pPr>
      <w:r w:rsidRPr="00867A9B">
        <w:rPr>
          <w:rFonts w:eastAsiaTheme="minorEastAsia"/>
          <w:color w:val="4472C4" w:themeColor="accent1"/>
        </w:rPr>
        <w:t xml:space="preserve">The standard </w:t>
      </w:r>
      <w:proofErr w:type="gramStart"/>
      <w:r w:rsidRPr="00867A9B">
        <w:rPr>
          <w:rFonts w:eastAsiaTheme="minorEastAsia"/>
          <w:color w:val="4472C4" w:themeColor="accent1"/>
        </w:rPr>
        <w:t>service-load</w:t>
      </w:r>
      <w:proofErr w:type="gramEnd"/>
      <w:r w:rsidRPr="00867A9B">
        <w:rPr>
          <w:rFonts w:eastAsiaTheme="minorEastAsia"/>
          <w:color w:val="4472C4" w:themeColor="accent1"/>
        </w:rPr>
        <w:t xml:space="preserve"> comprises 20% of each full-time faculty member’s </w:t>
      </w:r>
      <w:proofErr w:type="gramStart"/>
      <w:r w:rsidRPr="00867A9B">
        <w:rPr>
          <w:rFonts w:eastAsiaTheme="minorEastAsia"/>
          <w:color w:val="4472C4" w:themeColor="accent1"/>
        </w:rPr>
        <w:t>workload</w:t>
      </w:r>
      <w:r w:rsidR="003C5D73" w:rsidRPr="00867A9B">
        <w:rPr>
          <w:rFonts w:eastAsiaTheme="minorEastAsia"/>
          <w:color w:val="4472C4" w:themeColor="accent1"/>
        </w:rPr>
        <w:t xml:space="preserve"> </w:t>
      </w:r>
      <w:r w:rsidRPr="00867A9B">
        <w:rPr>
          <w:rFonts w:eastAsiaTheme="minorEastAsia"/>
          <w:color w:val="4472C4" w:themeColor="accent1"/>
        </w:rPr>
        <w:t>.</w:t>
      </w:r>
      <w:proofErr w:type="gramEnd"/>
      <w:r w:rsidRPr="00867A9B">
        <w:rPr>
          <w:rFonts w:eastAsiaTheme="minorEastAsia"/>
          <w:color w:val="4472C4" w:themeColor="accent1"/>
        </w:rPr>
        <w:t xml:space="preserve">  This is equivalent to 8 hours per week though it may be dispersed irregularly throughout the academic</w:t>
      </w:r>
      <w:r w:rsidR="00196C0D" w:rsidRPr="00867A9B">
        <w:rPr>
          <w:rFonts w:eastAsiaTheme="minorEastAsia"/>
          <w:color w:val="4472C4" w:themeColor="accent1"/>
        </w:rPr>
        <w:t xml:space="preserve"> or calendar</w:t>
      </w:r>
      <w:r w:rsidRPr="00867A9B">
        <w:rPr>
          <w:rFonts w:eastAsiaTheme="minorEastAsia"/>
          <w:color w:val="4472C4" w:themeColor="accent1"/>
        </w:rPr>
        <w:t xml:space="preserve"> year. </w:t>
      </w:r>
      <w:r w:rsidR="0FA4E998" w:rsidRPr="00867A9B">
        <w:rPr>
          <w:rFonts w:eastAsiaTheme="minorEastAsia"/>
          <w:color w:val="4472C4" w:themeColor="accent1"/>
        </w:rPr>
        <w:t xml:space="preserve">Service includes activities internal to the department, COE, and university, and service </w:t>
      </w:r>
      <w:proofErr w:type="gramStart"/>
      <w:r w:rsidR="0FA4E998" w:rsidRPr="00867A9B">
        <w:rPr>
          <w:rFonts w:eastAsiaTheme="minorEastAsia"/>
          <w:color w:val="4472C4" w:themeColor="accent1"/>
        </w:rPr>
        <w:t>benefitting</w:t>
      </w:r>
      <w:proofErr w:type="gramEnd"/>
      <w:r w:rsidR="0FA4E998" w:rsidRPr="00867A9B">
        <w:rPr>
          <w:rFonts w:eastAsiaTheme="minorEastAsia"/>
          <w:color w:val="4472C4" w:themeColor="accent1"/>
        </w:rPr>
        <w:t xml:space="preserve"> the community, state, and profession.</w:t>
      </w:r>
    </w:p>
    <w:p w14:paraId="5CF5C673" w14:textId="58D1A55A" w:rsidR="24C209F9" w:rsidRPr="00C53AD7" w:rsidRDefault="2D8A9DBF" w:rsidP="00C53AD7">
      <w:pPr>
        <w:pStyle w:val="ListParagraph"/>
        <w:spacing w:after="240"/>
        <w:ind w:left="1224"/>
        <w:contextualSpacing w:val="0"/>
        <w:rPr>
          <w:rFonts w:eastAsiaTheme="minorEastAsia"/>
          <w:color w:val="4472C4" w:themeColor="accent1"/>
        </w:rPr>
      </w:pPr>
      <w:r w:rsidRPr="00867A9B">
        <w:rPr>
          <w:rFonts w:eastAsiaTheme="minorEastAsia"/>
          <w:color w:val="4472C4" w:themeColor="accent1"/>
        </w:rPr>
        <w:t xml:space="preserve">Faculty in the COE have a responsibility to engage in a unit, department, and/or college’s shared governance and are, therefore, expected to serve actively on academic </w:t>
      </w:r>
      <w:proofErr w:type="gramStart"/>
      <w:r w:rsidRPr="00867A9B">
        <w:rPr>
          <w:rFonts w:eastAsiaTheme="minorEastAsia"/>
          <w:color w:val="4472C4" w:themeColor="accent1"/>
        </w:rPr>
        <w:t>program</w:t>
      </w:r>
      <w:proofErr w:type="gramEnd"/>
      <w:r w:rsidRPr="00867A9B">
        <w:rPr>
          <w:rFonts w:eastAsiaTheme="minorEastAsia"/>
          <w:color w:val="4472C4" w:themeColor="accent1"/>
        </w:rPr>
        <w:t>, department, college, and university committees and in a variety of leadership roles in service to the institution.</w:t>
      </w:r>
    </w:p>
    <w:p w14:paraId="0125893B" w14:textId="3F6D2F60" w:rsidR="24C209F9" w:rsidRPr="00C53AD7" w:rsidRDefault="75E509BA" w:rsidP="00C53AD7">
      <w:pPr>
        <w:pStyle w:val="ListParagraph"/>
        <w:spacing w:after="240"/>
        <w:ind w:left="1224"/>
        <w:contextualSpacing w:val="0"/>
        <w:rPr>
          <w:rFonts w:eastAsiaTheme="minorEastAsia"/>
          <w:color w:val="4472C4" w:themeColor="accent1"/>
        </w:rPr>
      </w:pPr>
      <w:r w:rsidRPr="00867A9B">
        <w:rPr>
          <w:rFonts w:eastAsiaTheme="minorEastAsia"/>
          <w:color w:val="4472C4" w:themeColor="accent1"/>
        </w:rPr>
        <w:t xml:space="preserve">In the COE, departmental, college, university, and professional service typically </w:t>
      </w:r>
      <w:proofErr w:type="gramStart"/>
      <w:r w:rsidRPr="00867A9B">
        <w:rPr>
          <w:rFonts w:eastAsiaTheme="minorEastAsia"/>
          <w:color w:val="4472C4" w:themeColor="accent1"/>
        </w:rPr>
        <w:t>involves</w:t>
      </w:r>
      <w:proofErr w:type="gramEnd"/>
      <w:r w:rsidRPr="00867A9B">
        <w:rPr>
          <w:rFonts w:eastAsiaTheme="minorEastAsia"/>
          <w:color w:val="4472C4" w:themeColor="accent1"/>
        </w:rPr>
        <w:t xml:space="preserve"> faculty self-electing into service experiences, although sometimes these service roles are assigned based on program, department, or college needs. Faculty are expected to maintain consistent tracking of their service activity over the course of the year </w:t>
      </w:r>
      <w:proofErr w:type="gramStart"/>
      <w:r w:rsidRPr="00867A9B">
        <w:rPr>
          <w:rFonts w:eastAsiaTheme="minorEastAsia"/>
          <w:color w:val="4472C4" w:themeColor="accent1"/>
        </w:rPr>
        <w:t>in order to</w:t>
      </w:r>
      <w:proofErr w:type="gramEnd"/>
      <w:r w:rsidRPr="00867A9B">
        <w:rPr>
          <w:rFonts w:eastAsiaTheme="minorEastAsia"/>
          <w:color w:val="4472C4" w:themeColor="accent1"/>
        </w:rPr>
        <w:t xml:space="preserve"> </w:t>
      </w:r>
      <w:r w:rsidRPr="00867A9B">
        <w:rPr>
          <w:rFonts w:eastAsiaTheme="minorEastAsia"/>
          <w:color w:val="4472C4" w:themeColor="accent1"/>
        </w:rPr>
        <w:lastRenderedPageBreak/>
        <w:t>provide accurate and verifiable information for annual workload discussions and at the time of evaluations, merit, promotion, and review. In addition to these self-elected experiences, faculty may be encouraged (based on their rank, experience, or time in service, or other shared information) to engage in certain leadership experiences at the program, department, college, university, or professional level.</w:t>
      </w:r>
    </w:p>
    <w:p w14:paraId="55CE8018" w14:textId="4AB5A13D" w:rsidR="24C209F9" w:rsidRPr="00C53AD7" w:rsidRDefault="00460A69" w:rsidP="00C53AD7">
      <w:pPr>
        <w:pStyle w:val="ListParagraph"/>
        <w:spacing w:after="240"/>
        <w:ind w:left="1224"/>
        <w:contextualSpacing w:val="0"/>
        <w:rPr>
          <w:rFonts w:eastAsiaTheme="minorEastAsia"/>
          <w:color w:val="4472C4" w:themeColor="accent1"/>
        </w:rPr>
      </w:pPr>
      <w:r w:rsidRPr="00867A9B">
        <w:rPr>
          <w:rFonts w:eastAsiaTheme="minorEastAsia"/>
          <w:color w:val="4472C4" w:themeColor="accent1"/>
        </w:rPr>
        <w:t xml:space="preserve">In addition to voluntary and self-selected service consistent with their discipline and preferences, faculty may be called upon to engage in a range of activities that are directly related to the Department, College, and University administration </w:t>
      </w:r>
      <w:r w:rsidR="2D8A9DBF" w:rsidRPr="00867A9B">
        <w:rPr>
          <w:rFonts w:eastAsiaTheme="minorEastAsia"/>
          <w:color w:val="4472C4" w:themeColor="accent1"/>
        </w:rPr>
        <w:t xml:space="preserve">commensurate with their faculty rank and experience.  For example, this </w:t>
      </w:r>
      <w:r w:rsidR="008F09D0" w:rsidRPr="00867A9B">
        <w:rPr>
          <w:rFonts w:eastAsiaTheme="minorEastAsia"/>
          <w:color w:val="4472C4" w:themeColor="accent1"/>
        </w:rPr>
        <w:t xml:space="preserve">may range from </w:t>
      </w:r>
      <w:r w:rsidR="2D8A9DBF" w:rsidRPr="00867A9B">
        <w:rPr>
          <w:rFonts w:eastAsiaTheme="minorEastAsia"/>
          <w:color w:val="4472C4" w:themeColor="accent1"/>
        </w:rPr>
        <w:t>participation in standing and ad hoc committees and any other service work that may happen irregularly (e.g., curricular review</w:t>
      </w:r>
      <w:r w:rsidR="000D111D" w:rsidRPr="00867A9B">
        <w:rPr>
          <w:rFonts w:eastAsiaTheme="minorEastAsia"/>
          <w:color w:val="4472C4" w:themeColor="accent1"/>
        </w:rPr>
        <w:t>,</w:t>
      </w:r>
      <w:r w:rsidR="2D8A9DBF" w:rsidRPr="00867A9B">
        <w:rPr>
          <w:rFonts w:eastAsiaTheme="minorEastAsia"/>
          <w:color w:val="4472C4" w:themeColor="accent1"/>
        </w:rPr>
        <w:t xml:space="preserve"> program review</w:t>
      </w:r>
      <w:r w:rsidR="000D111D" w:rsidRPr="00867A9B">
        <w:rPr>
          <w:rFonts w:eastAsiaTheme="minorEastAsia"/>
          <w:color w:val="4472C4" w:themeColor="accent1"/>
        </w:rPr>
        <w:t>, peer teaching evaluation etc.</w:t>
      </w:r>
      <w:r w:rsidR="2D8A9DBF" w:rsidRPr="00867A9B">
        <w:rPr>
          <w:rFonts w:eastAsiaTheme="minorEastAsia"/>
          <w:color w:val="4472C4" w:themeColor="accent1"/>
        </w:rPr>
        <w:t>)</w:t>
      </w:r>
      <w:r w:rsidR="008F09D0" w:rsidRPr="00867A9B">
        <w:rPr>
          <w:rFonts w:eastAsiaTheme="minorEastAsia"/>
          <w:color w:val="4472C4" w:themeColor="accent1"/>
        </w:rPr>
        <w:t xml:space="preserve"> </w:t>
      </w:r>
      <w:r w:rsidR="008F09D0" w:rsidRPr="00867A9B">
        <w:rPr>
          <w:color w:val="4472C4" w:themeColor="accent1"/>
        </w:rPr>
        <w:t xml:space="preserve">to taking on </w:t>
      </w:r>
      <w:r w:rsidR="008F09D0" w:rsidRPr="00867A9B">
        <w:rPr>
          <w:rFonts w:eastAsiaTheme="minorEastAsia"/>
          <w:color w:val="4472C4" w:themeColor="accent1"/>
        </w:rPr>
        <w:t>associate dean and other leadership roles for more senior ranked faculty</w:t>
      </w:r>
      <w:r w:rsidR="008F09D0" w:rsidRPr="00867A9B">
        <w:rPr>
          <w:color w:val="4472C4" w:themeColor="accent1"/>
        </w:rPr>
        <w:t>.</w:t>
      </w:r>
      <w:r w:rsidR="2D8A9DBF" w:rsidRPr="00867A9B">
        <w:rPr>
          <w:rFonts w:eastAsiaTheme="minorEastAsia"/>
          <w:color w:val="4472C4" w:themeColor="accent1"/>
        </w:rPr>
        <w:t xml:space="preserve"> Assistant professors are expected to work closely with their department heads and Associate Deans of faculty development to determine the types and variety of services that should be sought out at different stages in their promotional cycle. While all faculty have expectations to engage in service at 20%, more senior faculty may be directed </w:t>
      </w:r>
      <w:r w:rsidRPr="00867A9B">
        <w:rPr>
          <w:rFonts w:eastAsiaTheme="minorEastAsia"/>
          <w:color w:val="4472C4" w:themeColor="accent1"/>
        </w:rPr>
        <w:t xml:space="preserve">or invited </w:t>
      </w:r>
      <w:r w:rsidR="2D8A9DBF" w:rsidRPr="00867A9B">
        <w:rPr>
          <w:rFonts w:eastAsiaTheme="minorEastAsia"/>
          <w:color w:val="4472C4" w:themeColor="accent1"/>
        </w:rPr>
        <w:t xml:space="preserve">to service that varies in intensity and duration and may be asked to engage in service activities and roles that extend beyond the 20% allocation. </w:t>
      </w:r>
    </w:p>
    <w:p w14:paraId="78AA3BE8" w14:textId="4E036CA7" w:rsidR="4BD82D3E" w:rsidRPr="00867A9B" w:rsidRDefault="3DA6BAED" w:rsidP="00C53AD7">
      <w:pPr>
        <w:spacing w:after="240"/>
        <w:ind w:left="1220"/>
        <w:rPr>
          <w:rFonts w:eastAsiaTheme="minorEastAsia"/>
          <w:color w:val="4472C4" w:themeColor="accent1"/>
        </w:rPr>
      </w:pPr>
      <w:r w:rsidRPr="00867A9B">
        <w:rPr>
          <w:rFonts w:eastAsiaTheme="minorEastAsia"/>
          <w:color w:val="4472C4" w:themeColor="accent1"/>
        </w:rPr>
        <w:t>All faculty are encouraged to anticipate certain rotational roles in service to their department, college, or institution and to plan to self-nominate and / or anticipate nominations to participate regularly in the shared governance and administrative support of their institution (program, department, college, university). Faculty at all ranks and levels are encouraged to discuss options and opportunities with their department head or other leaders.</w:t>
      </w:r>
    </w:p>
    <w:p w14:paraId="7D0B9D88" w14:textId="7DB54D3D" w:rsidR="24C209F9" w:rsidRPr="00C53AD7" w:rsidRDefault="7F01D5BB" w:rsidP="00C53AD7">
      <w:pPr>
        <w:spacing w:after="240"/>
        <w:ind w:left="1220"/>
        <w:rPr>
          <w:rFonts w:eastAsiaTheme="minorEastAsia"/>
          <w:color w:val="4472C4" w:themeColor="accent1"/>
        </w:rPr>
      </w:pPr>
      <w:r w:rsidRPr="00867A9B">
        <w:rPr>
          <w:rFonts w:eastAsiaTheme="minorEastAsia"/>
          <w:color w:val="4472C4" w:themeColor="accent1"/>
        </w:rPr>
        <w:t>On some occasions, faculty may be asked to assume leadership service roles that rely on their 20% service allocation, and on some occasions, faculty may be asked to take on service obligations that extend beyond their 20% faculty expectation. In the event critical activities and/or leadership activities arise that require service that falls outside of, or is otherwise in addition to existing service activities, these appointments may be accompanied by course releases and/or stipends that are offered in addition to the</w:t>
      </w:r>
      <w:r w:rsidR="130DB583" w:rsidRPr="00867A9B">
        <w:rPr>
          <w:rFonts w:eastAsiaTheme="minorEastAsia"/>
          <w:color w:val="4472C4" w:themeColor="accent1"/>
        </w:rPr>
        <w:t>ir</w:t>
      </w:r>
      <w:r w:rsidRPr="00867A9B">
        <w:rPr>
          <w:rFonts w:eastAsiaTheme="minorEastAsia"/>
          <w:color w:val="4472C4" w:themeColor="accent1"/>
        </w:rPr>
        <w:t xml:space="preserve"> 20% service allocation to ensure sufficient time and, if appropriate, compensation is connected with the role.</w:t>
      </w:r>
    </w:p>
    <w:p w14:paraId="62A9083A" w14:textId="2F86B79C" w:rsidR="24C209F9" w:rsidRPr="00C53AD7" w:rsidRDefault="2A3522F8" w:rsidP="00C53AD7">
      <w:pPr>
        <w:pStyle w:val="ListParagraph"/>
        <w:spacing w:after="240"/>
        <w:ind w:left="1224"/>
        <w:contextualSpacing w:val="0"/>
        <w:rPr>
          <w:rFonts w:eastAsiaTheme="minorEastAsia"/>
          <w:color w:val="4472C4" w:themeColor="accent1"/>
        </w:rPr>
      </w:pPr>
      <w:r w:rsidRPr="00867A9B">
        <w:rPr>
          <w:rFonts w:eastAsiaTheme="minorEastAsia"/>
          <w:color w:val="4472C4" w:themeColor="accent1"/>
        </w:rPr>
        <w:t>TTF have an expectation to seek out and serve as members or officers of professional organizations, editorial boards, and conference and award committees for their disciplines. Other examples of professional service include service to schools, organizations, and other entities at the local, state, national, and international levels; lending expert evaluations in the peer review of academic publications, grants, books; fellowships; promotion and tenure cases for colleagues at other institutions; and providing expert review of academic programs at other research universities.</w:t>
      </w:r>
    </w:p>
    <w:p w14:paraId="7851D615" w14:textId="71F8B0AA" w:rsidR="24C209F9" w:rsidRPr="00C53AD7" w:rsidRDefault="37402489" w:rsidP="00C53AD7">
      <w:pPr>
        <w:spacing w:after="240"/>
        <w:ind w:left="1220"/>
        <w:rPr>
          <w:rFonts w:eastAsiaTheme="minorEastAsia"/>
        </w:rPr>
      </w:pPr>
      <w:r w:rsidRPr="00867A9B">
        <w:rPr>
          <w:rFonts w:eastAsiaTheme="minorEastAsia"/>
          <w:color w:val="4472C4" w:themeColor="accent1"/>
        </w:rPr>
        <w:lastRenderedPageBreak/>
        <w:t xml:space="preserve">All faculty are expected to contribute to the college and university’s goals related to equity and inclusion. Contributions in this </w:t>
      </w:r>
      <w:proofErr w:type="gramStart"/>
      <w:r w:rsidRPr="00867A9B">
        <w:rPr>
          <w:rFonts w:eastAsiaTheme="minorEastAsia"/>
          <w:color w:val="4472C4" w:themeColor="accent1"/>
        </w:rPr>
        <w:t>area,</w:t>
      </w:r>
      <w:proofErr w:type="gramEnd"/>
      <w:r w:rsidRPr="00867A9B">
        <w:rPr>
          <w:rFonts w:eastAsiaTheme="minorEastAsia"/>
          <w:color w:val="4472C4" w:themeColor="accent1"/>
        </w:rPr>
        <w:t xml:space="preserve"> should be evident and demonstrable throughout a faculty member’s research, instruction, and service activities as appropriate, committees or task forces, as well as involvement with academic and professional associations, non-profit, governmental, and/or private sector organizations.</w:t>
      </w:r>
    </w:p>
    <w:p w14:paraId="5DB69E1D" w14:textId="749B559A" w:rsidR="00B87C53" w:rsidRDefault="004A50D7" w:rsidP="00C53AD7">
      <w:pPr>
        <w:pStyle w:val="Heading3"/>
      </w:pPr>
      <w:r w:rsidRPr="24C209F9">
        <w:t>Professional Development</w:t>
      </w:r>
    </w:p>
    <w:p w14:paraId="08F0E341" w14:textId="6C8ECD61" w:rsidR="00C37764" w:rsidRPr="00867A9B" w:rsidRDefault="2E3191A2" w:rsidP="00C53AD7">
      <w:pPr>
        <w:pStyle w:val="BodyA"/>
        <w:spacing w:after="240"/>
        <w:ind w:left="1220"/>
        <w:rPr>
          <w:rFonts w:asciiTheme="minorHAnsi" w:eastAsiaTheme="minorEastAsia" w:hAnsiTheme="minorHAnsi" w:cstheme="minorBidi"/>
          <w:color w:val="4472C4" w:themeColor="accent1"/>
          <w:sz w:val="24"/>
          <w:szCs w:val="24"/>
        </w:rPr>
      </w:pPr>
      <w:r w:rsidRPr="00867A9B">
        <w:rPr>
          <w:rFonts w:asciiTheme="minorHAnsi" w:eastAsiaTheme="minorEastAsia" w:hAnsiTheme="minorHAnsi" w:cstheme="minorBidi"/>
          <w:color w:val="4472C4" w:themeColor="accent1"/>
          <w:sz w:val="24"/>
          <w:szCs w:val="24"/>
        </w:rPr>
        <w:t>Faculty are expected to routinely seek out professional development opportunities</w:t>
      </w:r>
      <w:r w:rsidR="00641A12" w:rsidRPr="00867A9B">
        <w:rPr>
          <w:rFonts w:asciiTheme="minorHAnsi" w:eastAsiaTheme="minorEastAsia" w:hAnsiTheme="minorHAnsi" w:cstheme="minorBidi"/>
          <w:color w:val="4472C4" w:themeColor="accent1"/>
          <w:sz w:val="24"/>
          <w:szCs w:val="24"/>
        </w:rPr>
        <w:t xml:space="preserve"> consistent with either their research, teaching, or service and</w:t>
      </w:r>
      <w:r w:rsidRPr="00867A9B">
        <w:rPr>
          <w:rFonts w:asciiTheme="minorHAnsi" w:eastAsiaTheme="minorEastAsia" w:hAnsiTheme="minorHAnsi" w:cstheme="minorBidi"/>
          <w:color w:val="4472C4" w:themeColor="accent1"/>
          <w:sz w:val="24"/>
          <w:szCs w:val="24"/>
        </w:rPr>
        <w:t xml:space="preserve"> related</w:t>
      </w:r>
      <w:r w:rsidR="00116AAB" w:rsidRPr="00867A9B">
        <w:rPr>
          <w:rFonts w:asciiTheme="minorHAnsi" w:eastAsiaTheme="minorEastAsia" w:hAnsiTheme="minorHAnsi" w:cstheme="minorBidi"/>
          <w:color w:val="4472C4" w:themeColor="accent1"/>
          <w:sz w:val="24"/>
          <w:szCs w:val="24"/>
        </w:rPr>
        <w:t xml:space="preserve"> to</w:t>
      </w:r>
      <w:r w:rsidRPr="00867A9B">
        <w:rPr>
          <w:rFonts w:asciiTheme="minorHAnsi" w:eastAsiaTheme="minorEastAsia" w:hAnsiTheme="minorHAnsi" w:cstheme="minorBidi"/>
          <w:color w:val="4472C4" w:themeColor="accent1"/>
          <w:sz w:val="24"/>
          <w:szCs w:val="24"/>
        </w:rPr>
        <w:t xml:space="preserve"> their discipline on a regular basis, whether via formal professional developmental activities, participation in active reading and writing groups, or participation in professional conferences. Professional development should be engaged in ideally annually, but at a minimum every two years. </w:t>
      </w:r>
    </w:p>
    <w:p w14:paraId="1694A11E" w14:textId="0544B31B" w:rsidR="24C209F9" w:rsidRPr="00C53AD7" w:rsidRDefault="2E3191A2" w:rsidP="00C53AD7">
      <w:pPr>
        <w:pStyle w:val="BodyA"/>
        <w:tabs>
          <w:tab w:val="left" w:pos="3420"/>
        </w:tabs>
        <w:spacing w:after="240"/>
        <w:ind w:left="1220"/>
        <w:rPr>
          <w:rFonts w:asciiTheme="minorHAnsi" w:eastAsiaTheme="minorEastAsia" w:hAnsiTheme="minorHAnsi" w:cstheme="minorBidi"/>
          <w:color w:val="4472C4" w:themeColor="accent1"/>
          <w:sz w:val="24"/>
          <w:szCs w:val="24"/>
        </w:rPr>
      </w:pPr>
      <w:r w:rsidRPr="50CCE318">
        <w:rPr>
          <w:rFonts w:asciiTheme="minorHAnsi" w:eastAsiaTheme="minorEastAsia" w:hAnsiTheme="minorHAnsi" w:cstheme="minorBidi"/>
          <w:color w:val="4472C4" w:themeColor="accent1"/>
          <w:sz w:val="24"/>
          <w:szCs w:val="24"/>
        </w:rPr>
        <w:t>Additionally, in the COE, faculty are expected to seek out and regularly participate in professional development that supports both their discipline-specific knowledge and skill in equity and inclusion, but also their personal knowledge and role in supporting equity and inclusion across the full spectrum of their college experience and contributions.</w:t>
      </w:r>
      <w:r w:rsidR="7DD7D34F" w:rsidRPr="50CCE318">
        <w:rPr>
          <w:rFonts w:asciiTheme="minorHAnsi" w:eastAsiaTheme="minorEastAsia" w:hAnsiTheme="minorHAnsi" w:cstheme="minorBidi"/>
          <w:color w:val="4472C4" w:themeColor="accent1"/>
          <w:sz w:val="24"/>
          <w:szCs w:val="24"/>
        </w:rPr>
        <w:t xml:space="preserve"> See also the College of Education professional development policy.</w:t>
      </w:r>
    </w:p>
    <w:p w14:paraId="27F5A4DF" w14:textId="69F448D6" w:rsidR="00F01CE6" w:rsidRPr="00C53AD7" w:rsidRDefault="00C37764" w:rsidP="00C53AD7">
      <w:pPr>
        <w:pStyle w:val="Heading1"/>
      </w:pPr>
      <w:r w:rsidRPr="24C209F9">
        <w:t xml:space="preserve">CAREER </w:t>
      </w:r>
      <w:r w:rsidR="00197659" w:rsidRPr="24C209F9">
        <w:t xml:space="preserve">FACULTY PROFESSIONAL RESPONSIBILITIES </w:t>
      </w:r>
      <w:r w:rsidRPr="24C209F9">
        <w:t xml:space="preserve"> </w:t>
      </w:r>
    </w:p>
    <w:p w14:paraId="3CCFB379" w14:textId="0CAC9089" w:rsidR="00C37764" w:rsidRDefault="004A50D7" w:rsidP="00C53AD7">
      <w:pPr>
        <w:pStyle w:val="Heading2"/>
      </w:pPr>
      <w:r w:rsidRPr="24C209F9">
        <w:t xml:space="preserve">Workload Expectations for Career </w:t>
      </w:r>
      <w:r w:rsidR="00DE7DDB" w:rsidRPr="24C209F9">
        <w:t xml:space="preserve">Instructional </w:t>
      </w:r>
      <w:r w:rsidRPr="24C209F9">
        <w:t>Faculty</w:t>
      </w:r>
    </w:p>
    <w:p w14:paraId="16F809CA" w14:textId="7F9E1845" w:rsidR="00DE7DDB" w:rsidRPr="00A04433" w:rsidRDefault="610A7DF1" w:rsidP="00C53AD7">
      <w:pPr>
        <w:spacing w:after="240"/>
        <w:ind w:left="720"/>
        <w:rPr>
          <w:rFonts w:eastAsiaTheme="minorEastAsia"/>
          <w:color w:val="4472C4" w:themeColor="accent1"/>
        </w:rPr>
      </w:pPr>
      <w:r w:rsidRPr="00A04433">
        <w:rPr>
          <w:rFonts w:eastAsiaTheme="minorEastAsia"/>
          <w:color w:val="4472C4" w:themeColor="accent1"/>
        </w:rPr>
        <w:t xml:space="preserve">The primary workload areas for Career </w:t>
      </w:r>
      <w:r w:rsidR="358CB6CB" w:rsidRPr="00A04433">
        <w:rPr>
          <w:rFonts w:eastAsiaTheme="minorEastAsia"/>
          <w:color w:val="4472C4" w:themeColor="accent1"/>
        </w:rPr>
        <w:t>i</w:t>
      </w:r>
      <w:r w:rsidRPr="00A04433">
        <w:rPr>
          <w:rFonts w:eastAsiaTheme="minorEastAsia"/>
          <w:color w:val="4472C4" w:themeColor="accent1"/>
        </w:rPr>
        <w:t xml:space="preserve">nstructional </w:t>
      </w:r>
      <w:r w:rsidR="4B086444" w:rsidRPr="00A04433">
        <w:rPr>
          <w:rFonts w:eastAsiaTheme="minorEastAsia"/>
          <w:color w:val="4472C4" w:themeColor="accent1"/>
        </w:rPr>
        <w:t>f</w:t>
      </w:r>
      <w:r w:rsidRPr="00A04433">
        <w:rPr>
          <w:rFonts w:eastAsiaTheme="minorEastAsia"/>
          <w:color w:val="4472C4" w:themeColor="accent1"/>
        </w:rPr>
        <w:t>aculty</w:t>
      </w:r>
      <w:r w:rsidR="54A9A46E" w:rsidRPr="00A04433">
        <w:rPr>
          <w:rFonts w:eastAsiaTheme="minorEastAsia"/>
          <w:color w:val="4472C4" w:themeColor="accent1"/>
        </w:rPr>
        <w:t xml:space="preserve"> (CIF)</w:t>
      </w:r>
      <w:r w:rsidRPr="00A04433">
        <w:rPr>
          <w:rFonts w:eastAsiaTheme="minorEastAsia"/>
          <w:color w:val="4472C4" w:themeColor="accent1"/>
        </w:rPr>
        <w:t xml:space="preserve"> in the COE are: (a) Teaching / Supervision and (b) Service. Possible additional workload areas are: (c) Research, and (d) Administration. Career research faculty in the unit will have their workload expectations defined in a </w:t>
      </w:r>
      <w:r w:rsidR="00D774DD" w:rsidRPr="00A04433">
        <w:rPr>
          <w:rFonts w:eastAsiaTheme="minorEastAsia"/>
          <w:color w:val="4472C4" w:themeColor="accent1"/>
        </w:rPr>
        <w:t xml:space="preserve">position </w:t>
      </w:r>
      <w:r w:rsidRPr="00A04433">
        <w:rPr>
          <w:rFonts w:eastAsiaTheme="minorEastAsia"/>
          <w:color w:val="4472C4" w:themeColor="accent1"/>
        </w:rPr>
        <w:t xml:space="preserve">description specific to their position. This </w:t>
      </w:r>
      <w:r w:rsidR="00D774DD" w:rsidRPr="00A04433">
        <w:rPr>
          <w:rFonts w:eastAsiaTheme="minorEastAsia"/>
          <w:color w:val="4472C4" w:themeColor="accent1"/>
        </w:rPr>
        <w:t xml:space="preserve">position </w:t>
      </w:r>
      <w:r w:rsidRPr="00A04433">
        <w:rPr>
          <w:rFonts w:eastAsiaTheme="minorEastAsia"/>
          <w:color w:val="4472C4" w:themeColor="accent1"/>
        </w:rPr>
        <w:t>description will be updated as duties change if necessary.</w:t>
      </w:r>
    </w:p>
    <w:p w14:paraId="55D2BD2A" w14:textId="469CD63E" w:rsidR="00DE7DDB" w:rsidRPr="00C53AD7" w:rsidRDefault="610A7DF1" w:rsidP="00C53AD7">
      <w:pPr>
        <w:pStyle w:val="BodyA"/>
        <w:spacing w:after="240"/>
        <w:ind w:left="720"/>
        <w:rPr>
          <w:rFonts w:asciiTheme="minorHAnsi" w:eastAsiaTheme="minorEastAsia" w:hAnsiTheme="minorHAnsi" w:cstheme="minorBidi"/>
          <w:color w:val="4472C4" w:themeColor="accent1"/>
          <w:sz w:val="24"/>
          <w:szCs w:val="24"/>
        </w:rPr>
      </w:pPr>
      <w:r w:rsidRPr="00A04433">
        <w:rPr>
          <w:rFonts w:asciiTheme="minorHAnsi" w:eastAsiaTheme="minorEastAsia" w:hAnsiTheme="minorHAnsi" w:cstheme="minorBidi"/>
          <w:color w:val="4472C4" w:themeColor="accent1"/>
          <w:sz w:val="24"/>
          <w:szCs w:val="24"/>
        </w:rPr>
        <w:t>In general, full-time C</w:t>
      </w:r>
      <w:r w:rsidR="16CBD562" w:rsidRPr="00A04433">
        <w:rPr>
          <w:rFonts w:asciiTheme="minorHAnsi" w:eastAsiaTheme="minorEastAsia" w:hAnsiTheme="minorHAnsi" w:cstheme="minorBidi"/>
          <w:color w:val="4472C4" w:themeColor="accent1"/>
          <w:sz w:val="24"/>
          <w:szCs w:val="24"/>
        </w:rPr>
        <w:t>I</w:t>
      </w:r>
      <w:r w:rsidRPr="00A04433">
        <w:rPr>
          <w:rFonts w:asciiTheme="minorHAnsi" w:eastAsiaTheme="minorEastAsia" w:hAnsiTheme="minorHAnsi" w:cstheme="minorBidi"/>
          <w:color w:val="4472C4" w:themeColor="accent1"/>
          <w:sz w:val="24"/>
          <w:szCs w:val="24"/>
        </w:rPr>
        <w:t xml:space="preserve">F will spend approximately 80% of their effort on teaching and/or supervision, and 20% on service </w:t>
      </w:r>
      <w:r w:rsidR="00A93C2B">
        <w:rPr>
          <w:rFonts w:asciiTheme="minorHAnsi" w:eastAsiaTheme="minorEastAsia" w:hAnsiTheme="minorHAnsi" w:cstheme="minorBidi"/>
          <w:color w:val="4472C4" w:themeColor="accent1"/>
          <w:sz w:val="24"/>
          <w:szCs w:val="24"/>
        </w:rPr>
        <w:t xml:space="preserve">and professional development </w:t>
      </w:r>
      <w:r w:rsidRPr="00A04433">
        <w:rPr>
          <w:rFonts w:asciiTheme="minorHAnsi" w:eastAsiaTheme="minorEastAsia" w:hAnsiTheme="minorHAnsi" w:cstheme="minorBidi"/>
          <w:color w:val="4472C4" w:themeColor="accent1"/>
          <w:sz w:val="24"/>
          <w:szCs w:val="24"/>
        </w:rPr>
        <w:t>during an academic year. For part</w:t>
      </w:r>
      <w:r w:rsidR="42F8EA89" w:rsidRPr="00A04433">
        <w:rPr>
          <w:rFonts w:asciiTheme="minorHAnsi" w:eastAsiaTheme="minorEastAsia" w:hAnsiTheme="minorHAnsi" w:cstheme="minorBidi"/>
          <w:color w:val="4472C4" w:themeColor="accent1"/>
          <w:sz w:val="24"/>
          <w:szCs w:val="24"/>
        </w:rPr>
        <w:t>-</w:t>
      </w:r>
      <w:r w:rsidRPr="00A04433">
        <w:rPr>
          <w:rFonts w:asciiTheme="minorHAnsi" w:eastAsiaTheme="minorEastAsia" w:hAnsiTheme="minorHAnsi" w:cstheme="minorBidi"/>
          <w:color w:val="4472C4" w:themeColor="accent1"/>
          <w:sz w:val="24"/>
          <w:szCs w:val="24"/>
        </w:rPr>
        <w:t>time C</w:t>
      </w:r>
      <w:r w:rsidR="4978D39C" w:rsidRPr="00A04433">
        <w:rPr>
          <w:rFonts w:asciiTheme="minorHAnsi" w:eastAsiaTheme="minorEastAsia" w:hAnsiTheme="minorHAnsi" w:cstheme="minorBidi"/>
          <w:color w:val="4472C4" w:themeColor="accent1"/>
          <w:sz w:val="24"/>
          <w:szCs w:val="24"/>
        </w:rPr>
        <w:t>I</w:t>
      </w:r>
      <w:r w:rsidRPr="00A04433">
        <w:rPr>
          <w:rFonts w:asciiTheme="minorHAnsi" w:eastAsiaTheme="minorEastAsia" w:hAnsiTheme="minorHAnsi" w:cstheme="minorBidi"/>
          <w:color w:val="4472C4" w:themeColor="accent1"/>
          <w:sz w:val="24"/>
          <w:szCs w:val="24"/>
        </w:rPr>
        <w:t>F, FTE will be pro-rated to include service (for example, .50 FTE = .40 teaching/supervision and .10 service). Exceptions will be implemented for those C</w:t>
      </w:r>
      <w:r w:rsidR="58DA7529" w:rsidRPr="00A04433">
        <w:rPr>
          <w:rFonts w:asciiTheme="minorHAnsi" w:eastAsiaTheme="minorEastAsia" w:hAnsiTheme="minorHAnsi" w:cstheme="minorBidi"/>
          <w:color w:val="4472C4" w:themeColor="accent1"/>
          <w:sz w:val="24"/>
          <w:szCs w:val="24"/>
        </w:rPr>
        <w:t>I</w:t>
      </w:r>
      <w:r w:rsidRPr="00A04433">
        <w:rPr>
          <w:rFonts w:asciiTheme="minorHAnsi" w:eastAsiaTheme="minorEastAsia" w:hAnsiTheme="minorHAnsi" w:cstheme="minorBidi"/>
          <w:color w:val="4472C4" w:themeColor="accent1"/>
          <w:sz w:val="24"/>
          <w:szCs w:val="24"/>
        </w:rPr>
        <w:t xml:space="preserve">F whose responsibilities include research and/or </w:t>
      </w:r>
      <w:proofErr w:type="gramStart"/>
      <w:r w:rsidRPr="00A04433">
        <w:rPr>
          <w:rFonts w:asciiTheme="minorHAnsi" w:eastAsiaTheme="minorEastAsia" w:hAnsiTheme="minorHAnsi" w:cstheme="minorBidi"/>
          <w:color w:val="4472C4" w:themeColor="accent1"/>
          <w:sz w:val="24"/>
          <w:szCs w:val="24"/>
        </w:rPr>
        <w:t>administration</w:t>
      </w:r>
      <w:proofErr w:type="gramEnd"/>
      <w:r w:rsidRPr="00A04433">
        <w:rPr>
          <w:rFonts w:asciiTheme="minorHAnsi" w:eastAsiaTheme="minorEastAsia" w:hAnsiTheme="minorHAnsi" w:cstheme="minorBidi"/>
          <w:color w:val="4472C4" w:themeColor="accent1"/>
          <w:sz w:val="24"/>
          <w:szCs w:val="24"/>
        </w:rPr>
        <w:t xml:space="preserve"> activities. Assignment of professional responsibilities shall reflect a realistic balance of duties consistent with criteria for annual review and promotion review.</w:t>
      </w:r>
    </w:p>
    <w:p w14:paraId="12DFA3B6" w14:textId="21E7733E" w:rsidR="003C27A7" w:rsidRDefault="00DE7DDB" w:rsidP="00C53AD7">
      <w:pPr>
        <w:pStyle w:val="Heading3"/>
      </w:pPr>
      <w:r w:rsidRPr="24C209F9">
        <w:t>Research, scholarship, or creative activities</w:t>
      </w:r>
    </w:p>
    <w:p w14:paraId="71E875B9" w14:textId="212425A0" w:rsidR="003C27A7" w:rsidRPr="00C53AD7" w:rsidRDefault="5AA3E78D" w:rsidP="00C53AD7">
      <w:pPr>
        <w:spacing w:after="240"/>
        <w:ind w:left="1220"/>
        <w:rPr>
          <w:rFonts w:ascii="Calibri" w:eastAsia="Calibri" w:hAnsi="Calibri" w:cs="Calibri"/>
          <w:color w:val="4472C4" w:themeColor="accent1"/>
        </w:rPr>
      </w:pPr>
      <w:r w:rsidRPr="46F71FDA">
        <w:rPr>
          <w:rFonts w:eastAsiaTheme="minorEastAsia"/>
          <w:color w:val="000000" w:themeColor="text1"/>
        </w:rPr>
        <w:t>Career</w:t>
      </w:r>
      <w:r w:rsidR="40B63610" w:rsidRPr="46F71FDA">
        <w:rPr>
          <w:rFonts w:eastAsiaTheme="minorEastAsia"/>
          <w:color w:val="000000" w:themeColor="text1"/>
        </w:rPr>
        <w:t xml:space="preserve"> </w:t>
      </w:r>
      <w:r w:rsidRPr="46F71FDA">
        <w:rPr>
          <w:rFonts w:eastAsiaTheme="minorEastAsia"/>
          <w:color w:val="000000" w:themeColor="text1"/>
        </w:rPr>
        <w:t xml:space="preserve">instructional faculty generally do not have FTE devoted to research, scholarship, or creative activity. </w:t>
      </w:r>
      <w:r w:rsidR="00033175">
        <w:rPr>
          <w:rFonts w:eastAsiaTheme="minorEastAsia"/>
          <w:color w:val="000000" w:themeColor="text1"/>
        </w:rPr>
        <w:t xml:space="preserve">Should an individual faculty member have such expectations, </w:t>
      </w:r>
      <w:r w:rsidR="00086CBC">
        <w:rPr>
          <w:rFonts w:eastAsiaTheme="minorEastAsia"/>
          <w:color w:val="000000" w:themeColor="text1"/>
        </w:rPr>
        <w:t xml:space="preserve">those will be described in a specific job description. </w:t>
      </w:r>
      <w:r w:rsidRPr="00033175">
        <w:rPr>
          <w:rFonts w:eastAsiaTheme="minorEastAsia"/>
          <w:color w:val="4472C4" w:themeColor="accent1"/>
        </w:rPr>
        <w:t>C</w:t>
      </w:r>
      <w:r w:rsidR="2EF052F3" w:rsidRPr="00033175">
        <w:rPr>
          <w:rFonts w:eastAsiaTheme="minorEastAsia"/>
          <w:color w:val="4472C4" w:themeColor="accent1"/>
        </w:rPr>
        <w:t>IF</w:t>
      </w:r>
      <w:r w:rsidRPr="00033175">
        <w:rPr>
          <w:rFonts w:eastAsiaTheme="minorEastAsia"/>
          <w:color w:val="4472C4" w:themeColor="accent1"/>
        </w:rPr>
        <w:t xml:space="preserve"> do have promotional expectations related to scholarly activity, so faculty should identify interests and preferences associated with </w:t>
      </w:r>
      <w:r w:rsidRPr="00033175">
        <w:rPr>
          <w:rFonts w:eastAsiaTheme="minorEastAsia"/>
          <w:color w:val="4472C4" w:themeColor="accent1"/>
        </w:rPr>
        <w:lastRenderedPageBreak/>
        <w:t>scholarly activity to determine where they may align with service and where those interests may need to be associated with instructional FTE.</w:t>
      </w:r>
      <w:r w:rsidR="379BC9C3" w:rsidRPr="00033175">
        <w:rPr>
          <w:rFonts w:eastAsiaTheme="minorEastAsia"/>
          <w:color w:val="4472C4" w:themeColor="accent1"/>
        </w:rPr>
        <w:t xml:space="preserve"> CIF should work with their department head or with </w:t>
      </w:r>
      <w:r w:rsidR="787FC7A5" w:rsidRPr="00033175">
        <w:rPr>
          <w:rFonts w:eastAsiaTheme="minorEastAsia"/>
          <w:color w:val="4472C4" w:themeColor="accent1"/>
        </w:rPr>
        <w:t xml:space="preserve">a dean </w:t>
      </w:r>
      <w:proofErr w:type="gramStart"/>
      <w:r w:rsidR="787FC7A5" w:rsidRPr="00033175">
        <w:rPr>
          <w:rFonts w:eastAsiaTheme="minorEastAsia"/>
          <w:color w:val="4472C4" w:themeColor="accent1"/>
        </w:rPr>
        <w:t>designee</w:t>
      </w:r>
      <w:proofErr w:type="gramEnd"/>
      <w:r w:rsidR="379BC9C3" w:rsidRPr="00033175">
        <w:rPr>
          <w:rFonts w:eastAsiaTheme="minorEastAsia"/>
          <w:color w:val="4472C4" w:themeColor="accent1"/>
        </w:rPr>
        <w:t xml:space="preserve"> to determine how best to incorporate</w:t>
      </w:r>
      <w:r w:rsidR="00F4774E" w:rsidRPr="00033175">
        <w:rPr>
          <w:rFonts w:eastAsiaTheme="minorEastAsia"/>
          <w:color w:val="4472C4" w:themeColor="accent1"/>
        </w:rPr>
        <w:t xml:space="preserve"> scholarly activity</w:t>
      </w:r>
      <w:r w:rsidR="67561A5C" w:rsidRPr="00033175">
        <w:rPr>
          <w:rFonts w:eastAsiaTheme="minorEastAsia"/>
          <w:color w:val="4472C4" w:themeColor="accent1"/>
        </w:rPr>
        <w:t xml:space="preserve"> </w:t>
      </w:r>
      <w:r w:rsidR="379BC9C3" w:rsidRPr="00033175">
        <w:rPr>
          <w:rFonts w:eastAsiaTheme="minorEastAsia"/>
          <w:color w:val="4472C4" w:themeColor="accent1"/>
        </w:rPr>
        <w:t>to support their promotional expectations.</w:t>
      </w:r>
    </w:p>
    <w:p w14:paraId="00B5E99C" w14:textId="279B28E4" w:rsidR="24C209F9" w:rsidRPr="00C53AD7" w:rsidRDefault="00DE7DDB" w:rsidP="002D470A">
      <w:pPr>
        <w:pStyle w:val="Heading3"/>
      </w:pPr>
      <w:r w:rsidRPr="24C209F9">
        <w:t>Teachin</w:t>
      </w:r>
      <w:r w:rsidR="00C53AD7">
        <w:t>g</w:t>
      </w:r>
    </w:p>
    <w:p w14:paraId="764B0C55" w14:textId="3D375193" w:rsidR="004531A8" w:rsidRDefault="004531A8" w:rsidP="00C53AD7">
      <w:pPr>
        <w:pStyle w:val="Heading4"/>
      </w:pPr>
      <w:r w:rsidRPr="24C209F9">
        <w:t>Standard Course Load</w:t>
      </w:r>
    </w:p>
    <w:p w14:paraId="5FD54551" w14:textId="09178659" w:rsidR="004531A8" w:rsidRPr="00C53AD7" w:rsidRDefault="7B5174F4" w:rsidP="00C53AD7">
      <w:pPr>
        <w:pStyle w:val="BodyA"/>
        <w:keepLines/>
        <w:tabs>
          <w:tab w:val="left" w:pos="3420"/>
        </w:tabs>
        <w:spacing w:after="240"/>
        <w:ind w:left="1800"/>
        <w:rPr>
          <w:rFonts w:asciiTheme="minorHAnsi" w:eastAsiaTheme="minorEastAsia" w:hAnsiTheme="minorHAnsi" w:cstheme="minorBidi"/>
          <w:color w:val="4472C4" w:themeColor="accent1"/>
          <w:sz w:val="24"/>
          <w:szCs w:val="24"/>
        </w:rPr>
      </w:pPr>
      <w:r w:rsidRPr="00694093">
        <w:rPr>
          <w:rFonts w:asciiTheme="minorHAnsi" w:eastAsiaTheme="minorEastAsia" w:hAnsiTheme="minorHAnsi" w:cstheme="minorBidi"/>
          <w:color w:val="4472C4" w:themeColor="accent1"/>
          <w:sz w:val="24"/>
          <w:szCs w:val="24"/>
        </w:rPr>
        <w:t>The standard teaching load for a full-time equivalent (FTE) C</w:t>
      </w:r>
      <w:r w:rsidR="52FF59BD" w:rsidRPr="00694093">
        <w:rPr>
          <w:rFonts w:asciiTheme="minorHAnsi" w:eastAsiaTheme="minorEastAsia" w:hAnsiTheme="minorHAnsi" w:cstheme="minorBidi"/>
          <w:color w:val="4472C4" w:themeColor="accent1"/>
          <w:sz w:val="24"/>
          <w:szCs w:val="24"/>
        </w:rPr>
        <w:t>I</w:t>
      </w:r>
      <w:r w:rsidRPr="00694093">
        <w:rPr>
          <w:rFonts w:asciiTheme="minorHAnsi" w:eastAsiaTheme="minorEastAsia" w:hAnsiTheme="minorHAnsi" w:cstheme="minorBidi"/>
          <w:color w:val="4472C4" w:themeColor="accent1"/>
          <w:sz w:val="24"/>
          <w:szCs w:val="24"/>
        </w:rPr>
        <w:t>F is 8 courses. Consistent with the mission of a professional school, C</w:t>
      </w:r>
      <w:r w:rsidR="0D2AD73F" w:rsidRPr="00694093">
        <w:rPr>
          <w:rFonts w:asciiTheme="minorHAnsi" w:eastAsiaTheme="minorEastAsia" w:hAnsiTheme="minorHAnsi" w:cstheme="minorBidi"/>
          <w:color w:val="4472C4" w:themeColor="accent1"/>
          <w:sz w:val="24"/>
          <w:szCs w:val="24"/>
        </w:rPr>
        <w:t>I</w:t>
      </w:r>
      <w:r w:rsidRPr="00694093">
        <w:rPr>
          <w:rFonts w:asciiTheme="minorHAnsi" w:eastAsiaTheme="minorEastAsia" w:hAnsiTheme="minorHAnsi" w:cstheme="minorBidi"/>
          <w:color w:val="4472C4" w:themeColor="accent1"/>
          <w:sz w:val="24"/>
          <w:szCs w:val="24"/>
        </w:rPr>
        <w:t xml:space="preserve">F may also be assigned, as appropriate to their academic program and qualifications, to serve as instructor of record for practicum, internship, clinical supervision, or other field experiences. Courses must be at least three course credits (24-credit minimum). </w:t>
      </w:r>
    </w:p>
    <w:p w14:paraId="7352F99E" w14:textId="571A7AE1" w:rsidR="004531A8" w:rsidRPr="00C53AD7" w:rsidRDefault="7B5174F4" w:rsidP="00C53AD7">
      <w:pPr>
        <w:keepLines/>
        <w:tabs>
          <w:tab w:val="left" w:pos="3420"/>
        </w:tabs>
        <w:spacing w:after="240"/>
        <w:ind w:left="1800"/>
        <w:rPr>
          <w:rFonts w:eastAsiaTheme="minorEastAsia"/>
          <w:color w:val="4472C4" w:themeColor="accent1"/>
        </w:rPr>
      </w:pPr>
      <w:r w:rsidRPr="00694093">
        <w:rPr>
          <w:rFonts w:eastAsiaTheme="minorEastAsia"/>
          <w:color w:val="4472C4" w:themeColor="accent1"/>
        </w:rPr>
        <w:t>Two courses in the 8-course load may be a combination of 1- and 2-credit courses to equal at least 3-credits in total, that may be distributed across the academic year.</w:t>
      </w:r>
      <w:r w:rsidR="004E0F44" w:rsidRPr="00694093">
        <w:rPr>
          <w:rFonts w:eastAsiaTheme="minorEastAsia"/>
          <w:color w:val="4472C4" w:themeColor="accent1"/>
        </w:rPr>
        <w:t xml:space="preserve"> Under certain circumstances, additional 1- and 2-credit courses can be combined to count as additional courses, with the permission of the department head and the dean.  </w:t>
      </w:r>
    </w:p>
    <w:p w14:paraId="5575E89B" w14:textId="3FA5371B" w:rsidR="24C209F9" w:rsidRPr="00C53AD7" w:rsidRDefault="7B5174F4" w:rsidP="00C53AD7">
      <w:pPr>
        <w:pStyle w:val="ListParagraph"/>
        <w:spacing w:after="240"/>
        <w:ind w:left="1800"/>
        <w:contextualSpacing w:val="0"/>
        <w:rPr>
          <w:rFonts w:eastAsiaTheme="minorEastAsia"/>
          <w:color w:val="4472C4" w:themeColor="accent1"/>
        </w:rPr>
      </w:pPr>
      <w:r w:rsidRPr="00694093">
        <w:rPr>
          <w:rFonts w:eastAsiaTheme="minorEastAsia"/>
          <w:color w:val="4472C4" w:themeColor="accent1"/>
        </w:rPr>
        <w:t xml:space="preserve">The standard teaching load does not typically include infrequent or time-limited teaching activities such as guest lecturing or occasional </w:t>
      </w:r>
      <w:r w:rsidR="000A5BD7" w:rsidRPr="00694093">
        <w:rPr>
          <w:rFonts w:eastAsiaTheme="minorEastAsia"/>
          <w:color w:val="4472C4" w:themeColor="accent1"/>
        </w:rPr>
        <w:t xml:space="preserve">/ optional </w:t>
      </w:r>
      <w:r w:rsidRPr="00694093">
        <w:rPr>
          <w:rFonts w:eastAsiaTheme="minorEastAsia"/>
          <w:color w:val="4472C4" w:themeColor="accent1"/>
        </w:rPr>
        <w:t>independent study courses</w:t>
      </w:r>
      <w:r w:rsidR="7B0E2B68" w:rsidRPr="00694093">
        <w:rPr>
          <w:rFonts w:eastAsiaTheme="minorEastAsia"/>
          <w:color w:val="4472C4" w:themeColor="accent1"/>
        </w:rPr>
        <w:t>.</w:t>
      </w:r>
      <w:r w:rsidR="000A5BD7" w:rsidRPr="00694093">
        <w:rPr>
          <w:rFonts w:eastAsiaTheme="minorEastAsia"/>
          <w:color w:val="4472C4" w:themeColor="accent1"/>
        </w:rPr>
        <w:t xml:space="preserve"> In addition to the standard teaching load, a student’s program may also include independent study courses. When independent studies are optional or added to a student's existing program plan, faculty members are expected to maintain the university’s standards of student work and student-instructor engagement appropriate to the awarding of academic credit. In these occasional cases, independent study would not be counted as part of the regular teaching load and would be discussed with the Department Head as part of service, instruction, or research allocations as appropriate. When independent study courses are a central part of a student’s College of Education program and are assigned to all students who engage in the program, instruction of the course(s) would be counted as part of a faculty member’s regular teaching load based on the credits assigned.</w:t>
      </w:r>
    </w:p>
    <w:p w14:paraId="71439029" w14:textId="0DB59D82" w:rsidR="004531A8" w:rsidRDefault="004531A8" w:rsidP="0081291E">
      <w:pPr>
        <w:pStyle w:val="Heading4"/>
      </w:pPr>
      <w:r w:rsidRPr="24C209F9">
        <w:t>Adjustments to Standard Course Load</w:t>
      </w:r>
    </w:p>
    <w:p w14:paraId="405BD72E" w14:textId="27886BE7" w:rsidR="00BC4B65" w:rsidRPr="00694093" w:rsidRDefault="74A79504" w:rsidP="00F84A89">
      <w:pPr>
        <w:widowControl w:val="0"/>
        <w:tabs>
          <w:tab w:val="left" w:pos="220"/>
          <w:tab w:val="left" w:pos="720"/>
        </w:tabs>
        <w:spacing w:after="240"/>
        <w:ind w:left="1800"/>
        <w:rPr>
          <w:rFonts w:eastAsiaTheme="minorEastAsia"/>
          <w:color w:val="4472C4" w:themeColor="accent1"/>
        </w:rPr>
      </w:pPr>
      <w:r w:rsidRPr="00694093">
        <w:rPr>
          <w:rFonts w:eastAsiaTheme="minorEastAsia"/>
          <w:color w:val="4472C4" w:themeColor="accent1"/>
        </w:rPr>
        <w:t xml:space="preserve">A course that </w:t>
      </w:r>
      <w:r w:rsidR="00BC4B65" w:rsidRPr="00694093">
        <w:rPr>
          <w:rFonts w:eastAsiaTheme="minorEastAsia"/>
          <w:color w:val="4472C4" w:themeColor="accent1"/>
        </w:rPr>
        <w:t xml:space="preserve">needs to be </w:t>
      </w:r>
      <w:r w:rsidRPr="00694093">
        <w:rPr>
          <w:rFonts w:eastAsiaTheme="minorEastAsia"/>
          <w:color w:val="4472C4" w:themeColor="accent1"/>
        </w:rPr>
        <w:t xml:space="preserve">team-taught by two faculty members will typically count as half a course for each faculty member. If there are extraordinary </w:t>
      </w:r>
      <w:proofErr w:type="gramStart"/>
      <w:r w:rsidRPr="00694093">
        <w:rPr>
          <w:rFonts w:eastAsiaTheme="minorEastAsia"/>
          <w:color w:val="4472C4" w:themeColor="accent1"/>
        </w:rPr>
        <w:t>circumstances,</w:t>
      </w:r>
      <w:proofErr w:type="gramEnd"/>
      <w:r w:rsidRPr="00694093">
        <w:rPr>
          <w:rFonts w:eastAsiaTheme="minorEastAsia"/>
          <w:color w:val="4472C4" w:themeColor="accent1"/>
        </w:rPr>
        <w:t xml:space="preserve"> </w:t>
      </w:r>
      <w:r w:rsidR="00BC4B65" w:rsidRPr="00694093">
        <w:rPr>
          <w:rFonts w:eastAsiaTheme="minorEastAsia"/>
          <w:color w:val="4472C4" w:themeColor="accent1"/>
        </w:rPr>
        <w:t xml:space="preserve">that require two faculty members for the successful administration of the class then, a department head may </w:t>
      </w:r>
      <w:proofErr w:type="gramStart"/>
      <w:r w:rsidR="00BC4B65" w:rsidRPr="00694093">
        <w:rPr>
          <w:rFonts w:eastAsiaTheme="minorEastAsia"/>
          <w:color w:val="4472C4" w:themeColor="accent1"/>
        </w:rPr>
        <w:t xml:space="preserve">approve </w:t>
      </w:r>
      <w:r w:rsidRPr="00694093">
        <w:rPr>
          <w:rFonts w:eastAsiaTheme="minorEastAsia"/>
          <w:color w:val="4472C4" w:themeColor="accent1"/>
        </w:rPr>
        <w:t xml:space="preserve"> a</w:t>
      </w:r>
      <w:proofErr w:type="gramEnd"/>
      <w:r w:rsidRPr="00694093">
        <w:rPr>
          <w:rFonts w:eastAsiaTheme="minorEastAsia"/>
          <w:color w:val="4472C4" w:themeColor="accent1"/>
        </w:rPr>
        <w:t xml:space="preserve"> team-taught course as a full course for each faculty member, </w:t>
      </w:r>
      <w:r w:rsidR="00BC4B65" w:rsidRPr="00694093">
        <w:rPr>
          <w:rFonts w:eastAsiaTheme="minorEastAsia"/>
          <w:color w:val="4472C4" w:themeColor="accent1"/>
        </w:rPr>
        <w:t>provided</w:t>
      </w:r>
      <w:r w:rsidRPr="00694093">
        <w:rPr>
          <w:rFonts w:eastAsiaTheme="minorEastAsia"/>
          <w:color w:val="4472C4" w:themeColor="accent1"/>
        </w:rPr>
        <w:t xml:space="preserve"> the unit can meet its instructional needs with existing resources. </w:t>
      </w:r>
    </w:p>
    <w:p w14:paraId="7D323851" w14:textId="39BB21D5" w:rsidR="00DE7DDB" w:rsidRPr="00F84A89" w:rsidRDefault="74A79504" w:rsidP="00F84A89">
      <w:pPr>
        <w:pStyle w:val="BodyA"/>
        <w:tabs>
          <w:tab w:val="left" w:pos="3420"/>
        </w:tabs>
        <w:spacing w:after="240"/>
        <w:ind w:left="1800"/>
        <w:rPr>
          <w:rFonts w:asciiTheme="minorHAnsi" w:eastAsiaTheme="minorEastAsia" w:hAnsiTheme="minorHAnsi" w:cstheme="minorBidi"/>
          <w:sz w:val="24"/>
          <w:szCs w:val="24"/>
        </w:rPr>
      </w:pPr>
      <w:r w:rsidRPr="00694093">
        <w:rPr>
          <w:rFonts w:asciiTheme="minorHAnsi" w:eastAsiaTheme="minorEastAsia" w:hAnsiTheme="minorHAnsi" w:cstheme="minorBidi"/>
          <w:color w:val="4472C4" w:themeColor="accent1"/>
          <w:sz w:val="24"/>
          <w:szCs w:val="24"/>
        </w:rPr>
        <w:lastRenderedPageBreak/>
        <w:t xml:space="preserve">Additional course load reductions may be assigned to allow faculty to carry out supervision duties, administrative responsibilities, or substantial service contributions (see Course Release provision), and course buyout may be approved for faculty receiving an external funding award (see Course Buyout provision). Career </w:t>
      </w:r>
      <w:r w:rsidR="2826583C" w:rsidRPr="00694093">
        <w:rPr>
          <w:rFonts w:asciiTheme="minorHAnsi" w:eastAsiaTheme="minorEastAsia" w:hAnsiTheme="minorHAnsi" w:cstheme="minorBidi"/>
          <w:color w:val="4472C4" w:themeColor="accent1"/>
          <w:sz w:val="24"/>
          <w:szCs w:val="24"/>
        </w:rPr>
        <w:t xml:space="preserve">instructional </w:t>
      </w:r>
      <w:r w:rsidRPr="00694093">
        <w:rPr>
          <w:rFonts w:asciiTheme="minorHAnsi" w:eastAsiaTheme="minorEastAsia" w:hAnsiTheme="minorHAnsi" w:cstheme="minorBidi"/>
          <w:color w:val="4472C4" w:themeColor="accent1"/>
          <w:sz w:val="24"/>
          <w:szCs w:val="24"/>
        </w:rPr>
        <w:t>faculty with reduced course loads due to either course release or course buyout or both, are expected to maintain a minimum instructional course load of at least two courses (minimum 3 credits</w:t>
      </w:r>
      <w:r w:rsidR="00477C3B" w:rsidRPr="00694093">
        <w:rPr>
          <w:rFonts w:asciiTheme="minorHAnsi" w:eastAsiaTheme="minorEastAsia" w:hAnsiTheme="minorHAnsi" w:cstheme="minorBidi"/>
          <w:color w:val="4472C4" w:themeColor="accent1"/>
          <w:sz w:val="24"/>
          <w:szCs w:val="24"/>
        </w:rPr>
        <w:t xml:space="preserve"> per course</w:t>
      </w:r>
      <w:r w:rsidRPr="00694093">
        <w:rPr>
          <w:rFonts w:asciiTheme="minorHAnsi" w:eastAsiaTheme="minorEastAsia" w:hAnsiTheme="minorHAnsi" w:cstheme="minorBidi"/>
          <w:color w:val="4472C4" w:themeColor="accent1"/>
          <w:sz w:val="24"/>
          <w:szCs w:val="24"/>
        </w:rPr>
        <w:t>) each academic year. Exceptions are time-limited and require the authorization of the dean.</w:t>
      </w:r>
    </w:p>
    <w:p w14:paraId="0AA7703E" w14:textId="47EDEA3A" w:rsidR="00DE7DDB" w:rsidRDefault="00DE7DDB" w:rsidP="0081291E">
      <w:pPr>
        <w:pStyle w:val="Heading3"/>
      </w:pPr>
      <w:r w:rsidRPr="24C209F9">
        <w:t>Service</w:t>
      </w:r>
    </w:p>
    <w:p w14:paraId="61EAC691" w14:textId="74026BA5" w:rsidR="24C209F9" w:rsidRPr="00086CBC" w:rsidRDefault="6480D73C" w:rsidP="00F84A89">
      <w:pPr>
        <w:spacing w:after="240"/>
        <w:ind w:left="1220"/>
        <w:rPr>
          <w:rFonts w:eastAsiaTheme="minorEastAsia"/>
          <w:color w:val="4472C4" w:themeColor="accent1"/>
        </w:rPr>
      </w:pPr>
      <w:r w:rsidRPr="00086CBC">
        <w:rPr>
          <w:rFonts w:eastAsiaTheme="minorEastAsia"/>
          <w:color w:val="4472C4" w:themeColor="accent1"/>
        </w:rPr>
        <w:t xml:space="preserve">The standard service-load comprises </w:t>
      </w:r>
      <w:r w:rsidR="00F7440F">
        <w:rPr>
          <w:rFonts w:eastAsiaTheme="minorEastAsia"/>
          <w:color w:val="4472C4" w:themeColor="accent1"/>
        </w:rPr>
        <w:t xml:space="preserve">a portion of </w:t>
      </w:r>
      <w:r w:rsidRPr="00086CBC">
        <w:rPr>
          <w:rFonts w:eastAsiaTheme="minorEastAsia"/>
          <w:color w:val="4472C4" w:themeColor="accent1"/>
        </w:rPr>
        <w:t xml:space="preserve">20% </w:t>
      </w:r>
      <w:r w:rsidR="00F7440F">
        <w:rPr>
          <w:rFonts w:eastAsiaTheme="minorEastAsia"/>
          <w:color w:val="4472C4" w:themeColor="accent1"/>
        </w:rPr>
        <w:t xml:space="preserve">FTE </w:t>
      </w:r>
      <w:r w:rsidRPr="00086CBC">
        <w:rPr>
          <w:rFonts w:eastAsiaTheme="minorEastAsia"/>
          <w:color w:val="4472C4" w:themeColor="accent1"/>
        </w:rPr>
        <w:t xml:space="preserve">of each full-time </w:t>
      </w:r>
      <w:r w:rsidR="4B0F670A" w:rsidRPr="00086CBC">
        <w:rPr>
          <w:rFonts w:eastAsiaTheme="minorEastAsia"/>
          <w:color w:val="4472C4" w:themeColor="accent1"/>
        </w:rPr>
        <w:t xml:space="preserve">career instructional </w:t>
      </w:r>
      <w:r w:rsidRPr="00086CBC">
        <w:rPr>
          <w:rFonts w:eastAsiaTheme="minorEastAsia"/>
          <w:color w:val="4472C4" w:themeColor="accent1"/>
        </w:rPr>
        <w:t xml:space="preserve">faculty member’s </w:t>
      </w:r>
      <w:proofErr w:type="gramStart"/>
      <w:r w:rsidRPr="00086CBC">
        <w:rPr>
          <w:rFonts w:eastAsiaTheme="minorEastAsia"/>
          <w:color w:val="4472C4" w:themeColor="accent1"/>
        </w:rPr>
        <w:t>workload</w:t>
      </w:r>
      <w:r w:rsidR="00275E28" w:rsidRPr="00086CBC">
        <w:rPr>
          <w:rFonts w:eastAsiaTheme="minorEastAsia"/>
          <w:color w:val="4472C4" w:themeColor="accent1"/>
        </w:rPr>
        <w:t xml:space="preserve"> </w:t>
      </w:r>
      <w:r w:rsidRPr="00086CBC">
        <w:rPr>
          <w:rFonts w:eastAsiaTheme="minorEastAsia"/>
          <w:color w:val="4472C4" w:themeColor="accent1"/>
        </w:rPr>
        <w:t>.</w:t>
      </w:r>
      <w:proofErr w:type="gramEnd"/>
      <w:r w:rsidRPr="00086CBC">
        <w:rPr>
          <w:rFonts w:eastAsiaTheme="minorEastAsia"/>
          <w:color w:val="4472C4" w:themeColor="accent1"/>
        </w:rPr>
        <w:t xml:space="preserve"> This is equivalent to</w:t>
      </w:r>
      <w:r w:rsidR="00F7440F">
        <w:rPr>
          <w:rFonts w:eastAsiaTheme="minorEastAsia"/>
          <w:color w:val="4472C4" w:themeColor="accent1"/>
        </w:rPr>
        <w:t xml:space="preserve"> up to</w:t>
      </w:r>
      <w:r w:rsidRPr="00086CBC">
        <w:rPr>
          <w:rFonts w:eastAsiaTheme="minorEastAsia"/>
          <w:color w:val="4472C4" w:themeColor="accent1"/>
        </w:rPr>
        <w:t xml:space="preserve"> 8 hours per week though it may be dispersed irregularly throughout the academic year. </w:t>
      </w:r>
      <w:r w:rsidR="08797419" w:rsidRPr="00086CBC">
        <w:rPr>
          <w:rFonts w:eastAsiaTheme="minorEastAsia"/>
          <w:color w:val="4472C4" w:themeColor="accent1"/>
        </w:rPr>
        <w:t xml:space="preserve">Service includes activities internal to the department, COE, and university, and service </w:t>
      </w:r>
      <w:proofErr w:type="gramStart"/>
      <w:r w:rsidR="08797419" w:rsidRPr="00086CBC">
        <w:rPr>
          <w:rFonts w:eastAsiaTheme="minorEastAsia"/>
          <w:color w:val="4472C4" w:themeColor="accent1"/>
        </w:rPr>
        <w:t>benefitting</w:t>
      </w:r>
      <w:proofErr w:type="gramEnd"/>
      <w:r w:rsidR="08797419" w:rsidRPr="00086CBC">
        <w:rPr>
          <w:rFonts w:eastAsiaTheme="minorEastAsia"/>
          <w:color w:val="4472C4" w:themeColor="accent1"/>
        </w:rPr>
        <w:t xml:space="preserve"> the community, state, and profession.</w:t>
      </w:r>
    </w:p>
    <w:p w14:paraId="1C81F779" w14:textId="75845F9C" w:rsidR="24C209F9" w:rsidRPr="00F84A89" w:rsidRDefault="6197746A" w:rsidP="00F84A89">
      <w:pPr>
        <w:keepNext/>
        <w:spacing w:after="240"/>
        <w:ind w:left="1220"/>
        <w:rPr>
          <w:rFonts w:eastAsiaTheme="minorEastAsia"/>
          <w:color w:val="4472C4" w:themeColor="accent1"/>
        </w:rPr>
      </w:pPr>
      <w:r w:rsidRPr="00086CBC">
        <w:rPr>
          <w:rFonts w:eastAsiaTheme="minorEastAsia"/>
          <w:color w:val="4472C4" w:themeColor="accent1"/>
        </w:rPr>
        <w:t>Career</w:t>
      </w:r>
      <w:r w:rsidR="22FE2C31" w:rsidRPr="00086CBC">
        <w:rPr>
          <w:rFonts w:eastAsiaTheme="minorEastAsia"/>
          <w:color w:val="4472C4" w:themeColor="accent1"/>
        </w:rPr>
        <w:t xml:space="preserve"> </w:t>
      </w:r>
      <w:r w:rsidRPr="00086CBC">
        <w:rPr>
          <w:rFonts w:eastAsiaTheme="minorEastAsia"/>
          <w:color w:val="4472C4" w:themeColor="accent1"/>
        </w:rPr>
        <w:t>instructional f</w:t>
      </w:r>
      <w:r w:rsidR="6480D73C" w:rsidRPr="00086CBC">
        <w:rPr>
          <w:rFonts w:eastAsiaTheme="minorEastAsia"/>
          <w:color w:val="4472C4" w:themeColor="accent1"/>
        </w:rPr>
        <w:t xml:space="preserve">aculty in the COE have a responsibility to engage in a unit, department, and/or college’s shared governance and are, therefore, expected to serve actively on academic </w:t>
      </w:r>
      <w:proofErr w:type="gramStart"/>
      <w:r w:rsidR="6480D73C" w:rsidRPr="00086CBC">
        <w:rPr>
          <w:rFonts w:eastAsiaTheme="minorEastAsia"/>
          <w:color w:val="4472C4" w:themeColor="accent1"/>
        </w:rPr>
        <w:t>program</w:t>
      </w:r>
      <w:proofErr w:type="gramEnd"/>
      <w:r w:rsidR="6480D73C" w:rsidRPr="00086CBC">
        <w:rPr>
          <w:rFonts w:eastAsiaTheme="minorEastAsia"/>
          <w:color w:val="4472C4" w:themeColor="accent1"/>
        </w:rPr>
        <w:t xml:space="preserve">, </w:t>
      </w:r>
      <w:proofErr w:type="gramStart"/>
      <w:r w:rsidR="6480D73C" w:rsidRPr="00086CBC">
        <w:rPr>
          <w:rFonts w:eastAsiaTheme="minorEastAsia"/>
          <w:color w:val="4472C4" w:themeColor="accent1"/>
        </w:rPr>
        <w:t>department</w:t>
      </w:r>
      <w:proofErr w:type="gramEnd"/>
      <w:r w:rsidR="6480D73C" w:rsidRPr="00086CBC">
        <w:rPr>
          <w:rFonts w:eastAsiaTheme="minorEastAsia"/>
          <w:color w:val="4472C4" w:themeColor="accent1"/>
        </w:rPr>
        <w:t xml:space="preserve">, </w:t>
      </w:r>
      <w:proofErr w:type="gramStart"/>
      <w:r w:rsidR="6480D73C" w:rsidRPr="00086CBC">
        <w:rPr>
          <w:rFonts w:eastAsiaTheme="minorEastAsia"/>
          <w:color w:val="4472C4" w:themeColor="accent1"/>
        </w:rPr>
        <w:t>college</w:t>
      </w:r>
      <w:proofErr w:type="gramEnd"/>
      <w:r w:rsidR="6480D73C" w:rsidRPr="00086CBC">
        <w:rPr>
          <w:rFonts w:eastAsiaTheme="minorEastAsia"/>
          <w:color w:val="4472C4" w:themeColor="accent1"/>
        </w:rPr>
        <w:t>, and university committees and in a variety of leadership roles in service to the institution.</w:t>
      </w:r>
    </w:p>
    <w:p w14:paraId="241E0847" w14:textId="057B8266" w:rsidR="24C209F9" w:rsidRPr="00F84A89" w:rsidRDefault="6480D73C" w:rsidP="00F84A89">
      <w:pPr>
        <w:pStyle w:val="ListParagraph"/>
        <w:spacing w:after="240"/>
        <w:ind w:left="1224"/>
        <w:contextualSpacing w:val="0"/>
        <w:rPr>
          <w:rFonts w:eastAsiaTheme="minorEastAsia"/>
          <w:color w:val="4472C4" w:themeColor="accent1"/>
        </w:rPr>
      </w:pPr>
      <w:r w:rsidRPr="00086CBC">
        <w:rPr>
          <w:rFonts w:eastAsiaTheme="minorEastAsia"/>
          <w:color w:val="4472C4" w:themeColor="accent1"/>
        </w:rPr>
        <w:t xml:space="preserve">In the COE, departmental, college, university, and professional service typically </w:t>
      </w:r>
      <w:proofErr w:type="gramStart"/>
      <w:r w:rsidRPr="00086CBC">
        <w:rPr>
          <w:rFonts w:eastAsiaTheme="minorEastAsia"/>
          <w:color w:val="4472C4" w:themeColor="accent1"/>
        </w:rPr>
        <w:t>involves</w:t>
      </w:r>
      <w:proofErr w:type="gramEnd"/>
      <w:r w:rsidRPr="00086CBC">
        <w:rPr>
          <w:rFonts w:eastAsiaTheme="minorEastAsia"/>
          <w:color w:val="4472C4" w:themeColor="accent1"/>
        </w:rPr>
        <w:t xml:space="preserve"> faculty self-electing into service experiences, although sometimes these service roles are assigned based on program, department, or college needs. </w:t>
      </w:r>
      <w:bookmarkStart w:id="25" w:name="_Int_OE57W2p3"/>
      <w:r w:rsidRPr="00086CBC">
        <w:rPr>
          <w:rFonts w:eastAsiaTheme="minorEastAsia"/>
          <w:color w:val="4472C4" w:themeColor="accent1"/>
        </w:rPr>
        <w:t xml:space="preserve">Faculty are expected to maintain consistent tracking of their service activity over the course of the year </w:t>
      </w:r>
      <w:proofErr w:type="gramStart"/>
      <w:r w:rsidRPr="00086CBC">
        <w:rPr>
          <w:rFonts w:eastAsiaTheme="minorEastAsia"/>
          <w:color w:val="4472C4" w:themeColor="accent1"/>
        </w:rPr>
        <w:t>in order to</w:t>
      </w:r>
      <w:proofErr w:type="gramEnd"/>
      <w:r w:rsidRPr="00086CBC">
        <w:rPr>
          <w:rFonts w:eastAsiaTheme="minorEastAsia"/>
          <w:color w:val="4472C4" w:themeColor="accent1"/>
        </w:rPr>
        <w:t xml:space="preserve"> provide accurate and verifiable information for annual workload discussions and at the time of evaluations, merit, promotion, and review.</w:t>
      </w:r>
      <w:bookmarkEnd w:id="25"/>
      <w:r w:rsidRPr="00086CBC">
        <w:rPr>
          <w:rFonts w:eastAsiaTheme="minorEastAsia"/>
          <w:color w:val="4472C4" w:themeColor="accent1"/>
        </w:rPr>
        <w:t xml:space="preserve"> In addition to these self-elected experiences, faculty may be encouraged (based on their rank, experience, or time in service, or other shared information) to engage in certain leadership experiences at the program, department, college, university, or professional level.</w:t>
      </w:r>
    </w:p>
    <w:p w14:paraId="1856C992" w14:textId="5343BCB3" w:rsidR="24C209F9" w:rsidRPr="00F84A89" w:rsidRDefault="00C60581" w:rsidP="00F84A89">
      <w:pPr>
        <w:pStyle w:val="ListParagraph"/>
        <w:spacing w:after="240"/>
        <w:ind w:left="1224"/>
        <w:contextualSpacing w:val="0"/>
        <w:rPr>
          <w:color w:val="4472C4" w:themeColor="accent1"/>
        </w:rPr>
      </w:pPr>
      <w:r w:rsidRPr="00086CBC">
        <w:rPr>
          <w:rFonts w:eastAsiaTheme="minorEastAsia"/>
          <w:color w:val="4472C4" w:themeColor="accent1"/>
        </w:rPr>
        <w:t xml:space="preserve">In addition to voluntary and self-selected service consistent with their discipline and preferences, faculty may be called upon to engage in a range of activities that are directly related to the Department, College, and University administration </w:t>
      </w:r>
      <w:r w:rsidR="6480D73C" w:rsidRPr="00086CBC">
        <w:rPr>
          <w:color w:val="4472C4" w:themeColor="accent1"/>
        </w:rPr>
        <w:t>commensurate with their faculty rank</w:t>
      </w:r>
      <w:r w:rsidRPr="00086CBC">
        <w:rPr>
          <w:color w:val="4472C4" w:themeColor="accent1"/>
        </w:rPr>
        <w:t>, level,</w:t>
      </w:r>
      <w:r w:rsidR="6480D73C" w:rsidRPr="00086CBC">
        <w:rPr>
          <w:color w:val="4472C4" w:themeColor="accent1"/>
        </w:rPr>
        <w:t xml:space="preserve"> and experience.  For example, this</w:t>
      </w:r>
      <w:r w:rsidRPr="00086CBC">
        <w:rPr>
          <w:color w:val="4472C4" w:themeColor="accent1"/>
        </w:rPr>
        <w:t xml:space="preserve"> may range from</w:t>
      </w:r>
      <w:r w:rsidR="6480D73C" w:rsidRPr="00086CBC">
        <w:rPr>
          <w:color w:val="4472C4" w:themeColor="accent1"/>
        </w:rPr>
        <w:t xml:space="preserve"> participation in standing and ad hoc committees and any other service work that may happen irregularly (e.g., curricular review</w:t>
      </w:r>
      <w:r w:rsidR="00275E28" w:rsidRPr="00086CBC">
        <w:rPr>
          <w:color w:val="4472C4" w:themeColor="accent1"/>
        </w:rPr>
        <w:t>,</w:t>
      </w:r>
      <w:r w:rsidR="6480D73C" w:rsidRPr="00086CBC">
        <w:rPr>
          <w:color w:val="4472C4" w:themeColor="accent1"/>
        </w:rPr>
        <w:t xml:space="preserve"> program review</w:t>
      </w:r>
      <w:r w:rsidR="00275E28" w:rsidRPr="00086CBC">
        <w:rPr>
          <w:color w:val="4472C4" w:themeColor="accent1"/>
        </w:rPr>
        <w:t xml:space="preserve">, </w:t>
      </w:r>
      <w:r w:rsidR="00275E28" w:rsidRPr="00086CBC">
        <w:rPr>
          <w:rFonts w:eastAsiaTheme="minorEastAsia"/>
          <w:color w:val="4472C4" w:themeColor="accent1"/>
        </w:rPr>
        <w:t>peer teaching evaluation etc.</w:t>
      </w:r>
      <w:r w:rsidR="6480D73C" w:rsidRPr="00086CBC">
        <w:rPr>
          <w:color w:val="4472C4" w:themeColor="accent1"/>
        </w:rPr>
        <w:t>)</w:t>
      </w:r>
      <w:r w:rsidRPr="00086CBC">
        <w:rPr>
          <w:color w:val="4472C4" w:themeColor="accent1"/>
        </w:rPr>
        <w:t xml:space="preserve"> to taking on </w:t>
      </w:r>
      <w:r w:rsidRPr="00086CBC">
        <w:rPr>
          <w:rFonts w:eastAsiaTheme="minorEastAsia"/>
          <w:color w:val="4472C4" w:themeColor="accent1"/>
        </w:rPr>
        <w:t>associate dean and other leadership roles for more senior ranked faculty</w:t>
      </w:r>
      <w:r w:rsidR="6480D73C" w:rsidRPr="00086CBC">
        <w:rPr>
          <w:color w:val="4472C4" w:themeColor="accent1"/>
        </w:rPr>
        <w:t xml:space="preserve">. </w:t>
      </w:r>
      <w:r w:rsidR="7973E655" w:rsidRPr="00086CBC">
        <w:rPr>
          <w:color w:val="4472C4" w:themeColor="accent1"/>
        </w:rPr>
        <w:t xml:space="preserve">Early career faculty </w:t>
      </w:r>
      <w:r w:rsidR="6480D73C" w:rsidRPr="00086CBC">
        <w:rPr>
          <w:color w:val="4472C4" w:themeColor="accent1"/>
        </w:rPr>
        <w:t>are expected to work closely with their department heads and Associate Deans of faculty development to determine the types and variety of services that should be sought out at different stages in their promotional cycle. While all faculty have expectations to engage in service at 20%, more senior faculty</w:t>
      </w:r>
      <w:r w:rsidR="6748876D" w:rsidRPr="00086CBC">
        <w:rPr>
          <w:color w:val="4472C4" w:themeColor="accent1"/>
        </w:rPr>
        <w:t>, or faculty hired to contribute to a specific activity based on their expertise or experience in a given area,</w:t>
      </w:r>
      <w:r w:rsidR="6480D73C" w:rsidRPr="00086CBC">
        <w:rPr>
          <w:color w:val="4472C4" w:themeColor="accent1"/>
        </w:rPr>
        <w:t xml:space="preserve"> may be directed </w:t>
      </w:r>
      <w:r w:rsidR="009D4498" w:rsidRPr="00086CBC">
        <w:rPr>
          <w:color w:val="4472C4" w:themeColor="accent1"/>
        </w:rPr>
        <w:t xml:space="preserve">or invited </w:t>
      </w:r>
      <w:r w:rsidR="6480D73C" w:rsidRPr="00086CBC">
        <w:rPr>
          <w:color w:val="4472C4" w:themeColor="accent1"/>
        </w:rPr>
        <w:lastRenderedPageBreak/>
        <w:t>to service that varies in intensity and duration and may be asked to engage in</w:t>
      </w:r>
      <w:r w:rsidR="43609247" w:rsidRPr="00086CBC">
        <w:rPr>
          <w:color w:val="4472C4" w:themeColor="accent1"/>
        </w:rPr>
        <w:t xml:space="preserve"> non-instructional</w:t>
      </w:r>
      <w:r w:rsidR="6480D73C" w:rsidRPr="00086CBC">
        <w:rPr>
          <w:color w:val="4472C4" w:themeColor="accent1"/>
        </w:rPr>
        <w:t xml:space="preserve"> activities and roles that extend beyond the 20% allocation. </w:t>
      </w:r>
    </w:p>
    <w:p w14:paraId="7A69F224" w14:textId="37297513" w:rsidR="24C209F9" w:rsidRPr="00086CBC" w:rsidRDefault="6480D73C" w:rsidP="00F84A89">
      <w:pPr>
        <w:spacing w:after="240"/>
        <w:ind w:left="1220"/>
        <w:rPr>
          <w:rFonts w:eastAsiaTheme="minorEastAsia"/>
          <w:color w:val="4472C4" w:themeColor="accent1"/>
        </w:rPr>
      </w:pPr>
      <w:r w:rsidRPr="00086CBC">
        <w:rPr>
          <w:rFonts w:eastAsiaTheme="minorEastAsia"/>
          <w:color w:val="4472C4" w:themeColor="accent1"/>
        </w:rPr>
        <w:t>All faculty are encouraged to anticipate certain rotational roles in service to their department, college, or institution and to plan to self-nominate and / or anticipate nominations to participate regularly in the shared governance and administrative support of their institution (program, department, college, university). Faculty at all ranks and levels are encouraged to discuss options and opportunities with their department head or other leaders.</w:t>
      </w:r>
    </w:p>
    <w:p w14:paraId="38D0E83E" w14:textId="04A69E73" w:rsidR="24C209F9" w:rsidRPr="00F84A89" w:rsidRDefault="6480D73C" w:rsidP="00F84A89">
      <w:pPr>
        <w:spacing w:after="240"/>
        <w:ind w:left="1170"/>
        <w:rPr>
          <w:rFonts w:eastAsiaTheme="minorEastAsia"/>
          <w:color w:val="4472C4" w:themeColor="accent1"/>
        </w:rPr>
      </w:pPr>
      <w:r w:rsidRPr="00086CBC">
        <w:rPr>
          <w:rFonts w:eastAsiaTheme="minorEastAsia"/>
          <w:color w:val="4472C4" w:themeColor="accent1"/>
        </w:rPr>
        <w:t>On some occasions, faculty may be asked to assume leadership service roles that rely on their 20% service allocation, and on some occasions, faculty may be asked to take on service obligations that extend beyond their 20% faculty expectation. In the event critical activities and/or leadership activities arise that require service that falls outside of, or is otherwise in addition to existing service activities, these appointments may be accompanied by course releases and/or stipends that are offered in addition to the 20% service allocation to ensure sufficient time and, if appropriate, compensation is connected with the role.</w:t>
      </w:r>
    </w:p>
    <w:p w14:paraId="34678EDD" w14:textId="0135ABF6" w:rsidR="24C209F9" w:rsidRPr="00F84A89" w:rsidRDefault="579C07A8" w:rsidP="00F84A89">
      <w:pPr>
        <w:pStyle w:val="ListParagraph"/>
        <w:spacing w:after="240"/>
        <w:ind w:left="1224"/>
        <w:contextualSpacing w:val="0"/>
        <w:rPr>
          <w:rFonts w:eastAsiaTheme="minorEastAsia"/>
          <w:color w:val="4472C4" w:themeColor="accent1"/>
        </w:rPr>
      </w:pPr>
      <w:r w:rsidRPr="00086CBC">
        <w:rPr>
          <w:rFonts w:eastAsiaTheme="minorEastAsia"/>
          <w:color w:val="4472C4" w:themeColor="accent1"/>
        </w:rPr>
        <w:t xml:space="preserve">Career </w:t>
      </w:r>
      <w:r w:rsidR="0353EC4D" w:rsidRPr="00086CBC">
        <w:rPr>
          <w:rFonts w:eastAsiaTheme="minorEastAsia"/>
          <w:color w:val="4472C4" w:themeColor="accent1"/>
        </w:rPr>
        <w:t>i</w:t>
      </w:r>
      <w:r w:rsidRPr="00086CBC">
        <w:rPr>
          <w:rFonts w:eastAsiaTheme="minorEastAsia"/>
          <w:color w:val="4472C4" w:themeColor="accent1"/>
        </w:rPr>
        <w:t xml:space="preserve">nstructional </w:t>
      </w:r>
      <w:r w:rsidR="46D325FB" w:rsidRPr="00086CBC">
        <w:rPr>
          <w:rFonts w:eastAsiaTheme="minorEastAsia"/>
          <w:color w:val="4472C4" w:themeColor="accent1"/>
        </w:rPr>
        <w:t>f</w:t>
      </w:r>
      <w:r w:rsidR="5AF4A4F0" w:rsidRPr="00086CBC">
        <w:rPr>
          <w:rFonts w:eastAsiaTheme="minorEastAsia"/>
          <w:color w:val="4472C4" w:themeColor="accent1"/>
        </w:rPr>
        <w:t xml:space="preserve">aculty </w:t>
      </w:r>
      <w:r w:rsidRPr="00086CBC">
        <w:rPr>
          <w:rFonts w:eastAsiaTheme="minorEastAsia"/>
          <w:color w:val="4472C4" w:themeColor="accent1"/>
        </w:rPr>
        <w:t>are encouraged to engage in service to professional organizations associated with their academic disciplines. Other examples of professional service include service to schools or other organizations at the local, state, national, and international levels, and peer review of academic publications, grants, books or other scholarly works.</w:t>
      </w:r>
    </w:p>
    <w:p w14:paraId="5489B4E4" w14:textId="26A5F28F" w:rsidR="00DE7DDB" w:rsidRPr="0081291E" w:rsidRDefault="742E8DE5" w:rsidP="0081291E">
      <w:pPr>
        <w:spacing w:after="240"/>
        <w:ind w:left="1220"/>
        <w:rPr>
          <w:rFonts w:eastAsiaTheme="minorEastAsia"/>
          <w:color w:val="4472C4" w:themeColor="accent1"/>
        </w:rPr>
      </w:pPr>
      <w:r w:rsidRPr="00086CBC">
        <w:rPr>
          <w:rFonts w:eastAsiaTheme="minorEastAsia"/>
          <w:color w:val="4472C4" w:themeColor="accent1"/>
        </w:rPr>
        <w:t>Faculty</w:t>
      </w:r>
      <w:r w:rsidR="6480D73C" w:rsidRPr="00086CBC">
        <w:rPr>
          <w:rFonts w:eastAsiaTheme="minorEastAsia"/>
          <w:color w:val="4472C4" w:themeColor="accent1"/>
        </w:rPr>
        <w:t xml:space="preserve"> are expected to contribute to the college and university’s goals related to equity and inclusion. Contributions in this </w:t>
      </w:r>
      <w:proofErr w:type="gramStart"/>
      <w:r w:rsidR="6480D73C" w:rsidRPr="00086CBC">
        <w:rPr>
          <w:rFonts w:eastAsiaTheme="minorEastAsia"/>
          <w:color w:val="4472C4" w:themeColor="accent1"/>
        </w:rPr>
        <w:t>area,</w:t>
      </w:r>
      <w:proofErr w:type="gramEnd"/>
      <w:r w:rsidR="6480D73C" w:rsidRPr="00086CBC">
        <w:rPr>
          <w:rFonts w:eastAsiaTheme="minorEastAsia"/>
          <w:color w:val="4472C4" w:themeColor="accent1"/>
        </w:rPr>
        <w:t xml:space="preserve"> should be evident and demonstrable throughout a faculty member’s research, instruction, and service activities as appropriate, committees or task forces, as well as involvement with academic and professional associations, non-profit, governmental, and/or private sector organizations.</w:t>
      </w:r>
    </w:p>
    <w:p w14:paraId="17FE4E10" w14:textId="3053362E" w:rsidR="00DE7DDB" w:rsidRPr="00141507" w:rsidRDefault="00DE7DDB" w:rsidP="0081291E">
      <w:pPr>
        <w:pStyle w:val="Heading3"/>
      </w:pPr>
      <w:r w:rsidRPr="24C209F9">
        <w:t>Professional Development</w:t>
      </w:r>
    </w:p>
    <w:p w14:paraId="0E0D7CD2" w14:textId="5D2C4CA9" w:rsidR="00051CB2" w:rsidRDefault="008F09D0" w:rsidP="0081291E">
      <w:pPr>
        <w:pStyle w:val="BodyA"/>
        <w:spacing w:after="240"/>
        <w:ind w:left="1220"/>
        <w:rPr>
          <w:rFonts w:asciiTheme="minorHAnsi" w:eastAsiaTheme="minorEastAsia" w:hAnsiTheme="minorHAnsi" w:cstheme="minorBidi"/>
          <w:color w:val="4472C4" w:themeColor="accent1"/>
          <w:sz w:val="24"/>
          <w:szCs w:val="24"/>
        </w:rPr>
      </w:pPr>
      <w:r w:rsidRPr="00694093">
        <w:rPr>
          <w:rFonts w:asciiTheme="minorHAnsi" w:eastAsiaTheme="minorEastAsia" w:hAnsiTheme="minorHAnsi" w:cstheme="minorBidi"/>
          <w:color w:val="4472C4" w:themeColor="accent1"/>
          <w:sz w:val="24"/>
          <w:szCs w:val="24"/>
        </w:rPr>
        <w:t>In</w:t>
      </w:r>
      <w:r w:rsidR="6A852C49" w:rsidRPr="00694093">
        <w:rPr>
          <w:rFonts w:asciiTheme="minorHAnsi" w:eastAsiaTheme="minorEastAsia" w:hAnsiTheme="minorHAnsi" w:cstheme="minorBidi"/>
          <w:color w:val="4472C4" w:themeColor="accent1"/>
          <w:sz w:val="24"/>
          <w:szCs w:val="24"/>
        </w:rPr>
        <w:t xml:space="preserve"> the COE, faculty are expected to seek out and regularly participate in professional development </w:t>
      </w:r>
      <w:r w:rsidR="00F7440F">
        <w:rPr>
          <w:rFonts w:asciiTheme="minorHAnsi" w:eastAsiaTheme="minorEastAsia" w:hAnsiTheme="minorHAnsi" w:cstheme="minorBidi"/>
          <w:color w:val="4472C4" w:themeColor="accent1"/>
          <w:sz w:val="24"/>
          <w:szCs w:val="24"/>
        </w:rPr>
        <w:t xml:space="preserve">as part of the 20% FTE devoted to service and professional development </w:t>
      </w:r>
      <w:r w:rsidR="6A852C49" w:rsidRPr="00694093">
        <w:rPr>
          <w:rFonts w:asciiTheme="minorHAnsi" w:eastAsiaTheme="minorEastAsia" w:hAnsiTheme="minorHAnsi" w:cstheme="minorBidi"/>
          <w:color w:val="4472C4" w:themeColor="accent1"/>
          <w:sz w:val="24"/>
          <w:szCs w:val="24"/>
        </w:rPr>
        <w:t>that supports both their discipline-specific knowledge and skill in equity and inclusion, but also their personal knowledge and role in supporting equity and inclusion across the full spectrum of their college experience and contributions.</w:t>
      </w:r>
      <w:r w:rsidR="00045011" w:rsidRPr="00694093">
        <w:rPr>
          <w:rFonts w:asciiTheme="minorHAnsi" w:eastAsiaTheme="minorEastAsia" w:hAnsiTheme="minorHAnsi" w:cstheme="minorBidi"/>
          <w:color w:val="4472C4" w:themeColor="accent1"/>
          <w:sz w:val="24"/>
          <w:szCs w:val="24"/>
        </w:rPr>
        <w:t xml:space="preserve"> Professional development can take the shape of formal professional developmental activities, participation in active reading and writing groups, online modules, or participation in professional conferences. Professional development should be engaged in ideally annually, but at a minimum every two years. </w:t>
      </w:r>
      <w:r w:rsidR="70DB4C76" w:rsidRPr="00694093">
        <w:rPr>
          <w:rFonts w:asciiTheme="minorHAnsi" w:eastAsiaTheme="minorEastAsia" w:hAnsiTheme="minorHAnsi" w:cstheme="minorBidi"/>
          <w:color w:val="4472C4" w:themeColor="accent1"/>
          <w:sz w:val="24"/>
          <w:szCs w:val="24"/>
        </w:rPr>
        <w:t>See also the College of Education Professional Development policy.</w:t>
      </w:r>
    </w:p>
    <w:p w14:paraId="0785C8CA" w14:textId="77777777" w:rsidR="00051CB2" w:rsidRDefault="00051CB2">
      <w:pPr>
        <w:rPr>
          <w:rFonts w:eastAsiaTheme="minorEastAsia"/>
          <w:color w:val="4472C4" w:themeColor="accent1"/>
        </w:rPr>
      </w:pPr>
      <w:r>
        <w:rPr>
          <w:rFonts w:eastAsiaTheme="minorEastAsia"/>
          <w:color w:val="4472C4" w:themeColor="accent1"/>
        </w:rPr>
        <w:br w:type="page"/>
      </w:r>
    </w:p>
    <w:p w14:paraId="324BA922" w14:textId="3D451CD5" w:rsidR="00DE7DDB" w:rsidRDefault="00DE7DDB" w:rsidP="0081291E">
      <w:pPr>
        <w:pStyle w:val="Heading2"/>
      </w:pPr>
      <w:r w:rsidRPr="24C209F9">
        <w:lastRenderedPageBreak/>
        <w:t>Workload Expectations for Career Research Faculty</w:t>
      </w:r>
    </w:p>
    <w:p w14:paraId="1810AAE7" w14:textId="563FB078" w:rsidR="00FE0890" w:rsidRPr="00536F69" w:rsidRDefault="00DE7DDB" w:rsidP="00536F69">
      <w:pPr>
        <w:pStyle w:val="ListParagraph"/>
        <w:spacing w:after="240"/>
        <w:contextualSpacing w:val="0"/>
        <w:rPr>
          <w:rFonts w:eastAsiaTheme="minorEastAsia"/>
          <w:color w:val="4472C4" w:themeColor="accent1"/>
        </w:rPr>
      </w:pPr>
      <w:r w:rsidRPr="24C209F9">
        <w:rPr>
          <w:rFonts w:eastAsiaTheme="minorEastAsia"/>
        </w:rPr>
        <w:t xml:space="preserve">Career research faculty in the unit will have their workload expectations defined in a </w:t>
      </w:r>
      <w:r w:rsidR="00D774DD">
        <w:rPr>
          <w:rFonts w:eastAsiaTheme="minorEastAsia"/>
        </w:rPr>
        <w:t>position</w:t>
      </w:r>
      <w:r w:rsidR="00D774DD" w:rsidRPr="24C209F9">
        <w:rPr>
          <w:rFonts w:eastAsiaTheme="minorEastAsia"/>
        </w:rPr>
        <w:t xml:space="preserve"> </w:t>
      </w:r>
      <w:r w:rsidRPr="24C209F9">
        <w:rPr>
          <w:rFonts w:eastAsiaTheme="minorEastAsia"/>
        </w:rPr>
        <w:t>description specific to their po</w:t>
      </w:r>
      <w:r w:rsidRPr="00FE0890">
        <w:rPr>
          <w:rFonts w:eastAsiaTheme="minorEastAsia"/>
        </w:rPr>
        <w:t>sition.</w:t>
      </w:r>
      <w:r w:rsidR="003D03CF" w:rsidRPr="00FE0890">
        <w:rPr>
          <w:rFonts w:eastAsiaTheme="minorEastAsia"/>
        </w:rPr>
        <w:t xml:space="preserve"> This </w:t>
      </w:r>
      <w:r w:rsidR="0085441B">
        <w:rPr>
          <w:rFonts w:eastAsiaTheme="minorEastAsia"/>
        </w:rPr>
        <w:t>job</w:t>
      </w:r>
      <w:r w:rsidR="0085441B" w:rsidRPr="00FE0890">
        <w:rPr>
          <w:rFonts w:eastAsiaTheme="minorEastAsia"/>
        </w:rPr>
        <w:t xml:space="preserve"> </w:t>
      </w:r>
      <w:r w:rsidR="003D03CF" w:rsidRPr="00FE0890">
        <w:rPr>
          <w:rFonts w:eastAsiaTheme="minorEastAsia"/>
        </w:rPr>
        <w:t>description will be updated as duties change if necessary.</w:t>
      </w:r>
      <w:r w:rsidR="00FE0890" w:rsidRPr="00FE0890">
        <w:rPr>
          <w:rFonts w:eastAsiaTheme="minorEastAsia"/>
        </w:rPr>
        <w:t xml:space="preserve"> </w:t>
      </w:r>
      <w:r w:rsidR="00FE0890" w:rsidRPr="003C765E">
        <w:rPr>
          <w:rFonts w:eastAsiaTheme="minorEastAsia"/>
          <w:color w:val="4472C4" w:themeColor="accent1"/>
        </w:rPr>
        <w:t>The primary workload area for Career research faculty (CRF) in the COE is: (a) research, scholarship, or creative activities. Possible additional workload areas are: (b) Teaching / Supervision, and</w:t>
      </w:r>
      <w:r w:rsidR="00051CB2">
        <w:rPr>
          <w:rFonts w:eastAsiaTheme="minorEastAsia"/>
          <w:color w:val="4472C4" w:themeColor="accent1"/>
        </w:rPr>
        <w:t xml:space="preserve"> </w:t>
      </w:r>
      <w:r w:rsidR="00FE0890" w:rsidRPr="003C765E">
        <w:rPr>
          <w:rFonts w:eastAsiaTheme="minorEastAsia"/>
          <w:color w:val="4472C4" w:themeColor="accent1"/>
        </w:rPr>
        <w:t xml:space="preserve">(c) Service, and (d) Administration. Career research faculty in the unit will have their workload expectations defined in a </w:t>
      </w:r>
      <w:r w:rsidR="00D774DD" w:rsidRPr="003C765E">
        <w:rPr>
          <w:rFonts w:eastAsiaTheme="minorEastAsia"/>
          <w:color w:val="4472C4" w:themeColor="accent1"/>
        </w:rPr>
        <w:t xml:space="preserve">position </w:t>
      </w:r>
      <w:r w:rsidR="00FE0890" w:rsidRPr="003C765E">
        <w:rPr>
          <w:rFonts w:eastAsiaTheme="minorEastAsia"/>
          <w:color w:val="4472C4" w:themeColor="accent1"/>
        </w:rPr>
        <w:t xml:space="preserve">description specific to their position. This </w:t>
      </w:r>
      <w:r w:rsidR="00D774DD" w:rsidRPr="003C765E">
        <w:rPr>
          <w:rFonts w:eastAsiaTheme="minorEastAsia"/>
          <w:color w:val="4472C4" w:themeColor="accent1"/>
        </w:rPr>
        <w:t xml:space="preserve">position </w:t>
      </w:r>
      <w:r w:rsidR="00FE0890" w:rsidRPr="003C765E">
        <w:rPr>
          <w:rFonts w:eastAsiaTheme="minorEastAsia"/>
          <w:color w:val="4472C4" w:themeColor="accent1"/>
        </w:rPr>
        <w:t>description will be updated as duties change if necessary.</w:t>
      </w:r>
    </w:p>
    <w:p w14:paraId="0C6ADE87" w14:textId="0C51EE96" w:rsidR="00FE0890" w:rsidRPr="00536F69" w:rsidRDefault="00FE0890" w:rsidP="00536F69">
      <w:pPr>
        <w:pStyle w:val="ListParagraph"/>
        <w:spacing w:after="240"/>
        <w:contextualSpacing w:val="0"/>
        <w:rPr>
          <w:rFonts w:eastAsiaTheme="minorEastAsia"/>
          <w:color w:val="4472C4" w:themeColor="accent1"/>
        </w:rPr>
      </w:pPr>
      <w:r w:rsidRPr="003C765E">
        <w:rPr>
          <w:rFonts w:eastAsiaTheme="minorEastAsia"/>
          <w:color w:val="4472C4" w:themeColor="accent1"/>
        </w:rPr>
        <w:t>Assignment of professional responsibilities shall reflect a realistic balance of duties consistent with criteria for annual review and promotion review.</w:t>
      </w:r>
    </w:p>
    <w:p w14:paraId="7AE795CA" w14:textId="54169E9D" w:rsidR="00FE0890" w:rsidRPr="00536F69" w:rsidRDefault="00FE0890" w:rsidP="00536F69">
      <w:pPr>
        <w:pStyle w:val="Heading3"/>
        <w:rPr>
          <w:color w:val="4472C4" w:themeColor="accent1"/>
        </w:rPr>
      </w:pPr>
      <w:r w:rsidRPr="00536F69">
        <w:rPr>
          <w:color w:val="4472C4" w:themeColor="accent1"/>
        </w:rPr>
        <w:t xml:space="preserve">Research, scholarship, </w:t>
      </w:r>
      <w:r w:rsidR="00B9310B" w:rsidRPr="00536F69">
        <w:rPr>
          <w:color w:val="4472C4" w:themeColor="accent1"/>
        </w:rPr>
        <w:t>and</w:t>
      </w:r>
      <w:r w:rsidRPr="00536F69">
        <w:rPr>
          <w:color w:val="4472C4" w:themeColor="accent1"/>
        </w:rPr>
        <w:t xml:space="preserve"> creative activities</w:t>
      </w:r>
    </w:p>
    <w:p w14:paraId="09366285" w14:textId="211688B5" w:rsidR="00FE0890" w:rsidRPr="00641E91" w:rsidRDefault="00FE0890" w:rsidP="00641E91">
      <w:pPr>
        <w:pStyle w:val="ListParagraph"/>
        <w:spacing w:after="240"/>
        <w:ind w:left="1260"/>
        <w:contextualSpacing w:val="0"/>
        <w:rPr>
          <w:rFonts w:eastAsiaTheme="minorEastAsia"/>
          <w:color w:val="4472C4" w:themeColor="accent1"/>
        </w:rPr>
      </w:pPr>
      <w:r w:rsidRPr="003C765E">
        <w:rPr>
          <w:rFonts w:eastAsiaTheme="minorEastAsia"/>
          <w:color w:val="4472C4" w:themeColor="accent1"/>
        </w:rPr>
        <w:t xml:space="preserve">CRF should work with their research/outreach supervisor or unit director or with a dean </w:t>
      </w:r>
      <w:proofErr w:type="gramStart"/>
      <w:r w:rsidRPr="003C765E">
        <w:rPr>
          <w:rFonts w:eastAsiaTheme="minorEastAsia"/>
          <w:color w:val="4472C4" w:themeColor="accent1"/>
        </w:rPr>
        <w:t>designee</w:t>
      </w:r>
      <w:proofErr w:type="gramEnd"/>
      <w:r w:rsidRPr="003C765E">
        <w:rPr>
          <w:rFonts w:eastAsiaTheme="minorEastAsia"/>
          <w:color w:val="4472C4" w:themeColor="accent1"/>
        </w:rPr>
        <w:t xml:space="preserve"> to determine specific research, scholarship, </w:t>
      </w:r>
      <w:r w:rsidR="00B9310B" w:rsidRPr="003C765E">
        <w:rPr>
          <w:rFonts w:eastAsiaTheme="minorEastAsia"/>
          <w:color w:val="4472C4" w:themeColor="accent1"/>
        </w:rPr>
        <w:t xml:space="preserve">and/or </w:t>
      </w:r>
      <w:r w:rsidRPr="003C765E">
        <w:rPr>
          <w:rFonts w:eastAsiaTheme="minorEastAsia"/>
          <w:color w:val="4472C4" w:themeColor="accent1"/>
        </w:rPr>
        <w:t>creative activities. These will vary as a function of the specific role the CRF has and the specific research funding that their FTE is assigned to.</w:t>
      </w:r>
    </w:p>
    <w:p w14:paraId="066E3D85" w14:textId="1A166A0C" w:rsidR="00FE0890" w:rsidRPr="00536F69" w:rsidRDefault="00FE0890" w:rsidP="00536F69">
      <w:pPr>
        <w:pStyle w:val="Heading3"/>
        <w:rPr>
          <w:color w:val="4472C4" w:themeColor="accent1"/>
        </w:rPr>
      </w:pPr>
      <w:r w:rsidRPr="00536F69">
        <w:rPr>
          <w:color w:val="4472C4" w:themeColor="accent1"/>
        </w:rPr>
        <w:t>Teaching</w:t>
      </w:r>
    </w:p>
    <w:p w14:paraId="404EE1BF" w14:textId="09F65ECA" w:rsidR="00FE0890" w:rsidRPr="00641E91" w:rsidRDefault="00FE0890" w:rsidP="00641E91">
      <w:pPr>
        <w:pStyle w:val="ListParagraph"/>
        <w:spacing w:after="240"/>
        <w:ind w:left="1260"/>
        <w:contextualSpacing w:val="0"/>
        <w:rPr>
          <w:rFonts w:eastAsiaTheme="minorEastAsia"/>
          <w:color w:val="4472C4" w:themeColor="accent1"/>
        </w:rPr>
      </w:pPr>
      <w:r w:rsidRPr="003C765E">
        <w:rPr>
          <w:rFonts w:eastAsiaTheme="minorEastAsia"/>
          <w:color w:val="4472C4" w:themeColor="accent1"/>
        </w:rPr>
        <w:t>Career research faculty generally do not have FTE devoted to teaching/supervision. On occasion, CRF may be assigned, as appropriate to their qualifications, to serve as instructor of record for a course or supervisor of a</w:t>
      </w:r>
      <w:r w:rsidR="006D0FDB" w:rsidRPr="003C765E">
        <w:rPr>
          <w:rFonts w:eastAsiaTheme="minorEastAsia"/>
          <w:color w:val="4472C4" w:themeColor="accent1"/>
        </w:rPr>
        <w:t xml:space="preserve"> COE student in their disciplinary</w:t>
      </w:r>
      <w:r w:rsidRPr="003C765E">
        <w:rPr>
          <w:rFonts w:eastAsiaTheme="minorEastAsia"/>
          <w:color w:val="4472C4" w:themeColor="accent1"/>
        </w:rPr>
        <w:t xml:space="preserve"> field experience. In these situations, CRF should work with their research/outreach unit supervisor, director, or with a dean designee to determine how best to incorporate teaching/supervision into their workload and to support their promotional expectations.</w:t>
      </w:r>
    </w:p>
    <w:p w14:paraId="2D37333B" w14:textId="25E63B0B" w:rsidR="00FE0890" w:rsidRPr="00641E91" w:rsidRDefault="00FE0890" w:rsidP="00641E91">
      <w:pPr>
        <w:pStyle w:val="Heading3"/>
        <w:rPr>
          <w:color w:val="4472C4" w:themeColor="accent1"/>
        </w:rPr>
      </w:pPr>
      <w:r w:rsidRPr="00641E91">
        <w:rPr>
          <w:color w:val="4472C4" w:themeColor="accent1"/>
        </w:rPr>
        <w:t> Service</w:t>
      </w:r>
    </w:p>
    <w:p w14:paraId="0E694775" w14:textId="79E2BB7F" w:rsidR="00346336" w:rsidRDefault="00FE0890" w:rsidP="00153DFB">
      <w:pPr>
        <w:pStyle w:val="ListParagraph"/>
        <w:spacing w:after="240"/>
        <w:ind w:left="1260"/>
        <w:contextualSpacing w:val="0"/>
        <w:rPr>
          <w:rFonts w:eastAsiaTheme="minorEastAsia"/>
          <w:color w:val="4472C4" w:themeColor="accent1"/>
        </w:rPr>
      </w:pPr>
      <w:r w:rsidRPr="003C765E">
        <w:rPr>
          <w:rFonts w:eastAsiaTheme="minorEastAsia"/>
          <w:color w:val="4472C4" w:themeColor="accent1"/>
        </w:rPr>
        <w:t>Career research faculty</w:t>
      </w:r>
      <w:r w:rsidR="006B3EC4" w:rsidRPr="003C765E">
        <w:rPr>
          <w:rFonts w:eastAsiaTheme="minorEastAsia"/>
          <w:color w:val="4472C4" w:themeColor="accent1"/>
        </w:rPr>
        <w:t xml:space="preserve"> (CRF)</w:t>
      </w:r>
      <w:r w:rsidRPr="003C765E">
        <w:rPr>
          <w:rFonts w:eastAsiaTheme="minorEastAsia"/>
          <w:color w:val="4472C4" w:themeColor="accent1"/>
        </w:rPr>
        <w:t xml:space="preserve"> generally do not have FTE devoted to service. If CRF do have promotional expectations related to service, they should identify interests and preferences associated with service to determine where they may align with their position’s specific </w:t>
      </w:r>
      <w:r w:rsidR="00FD22D3" w:rsidRPr="003C765E">
        <w:rPr>
          <w:rFonts w:eastAsiaTheme="minorEastAsia"/>
          <w:color w:val="4472C4" w:themeColor="accent1"/>
        </w:rPr>
        <w:t>expectations </w:t>
      </w:r>
      <w:r w:rsidRPr="003C765E">
        <w:rPr>
          <w:rFonts w:eastAsiaTheme="minorEastAsia"/>
          <w:color w:val="4472C4" w:themeColor="accent1"/>
        </w:rPr>
        <w:t xml:space="preserve">to ensure consistency with the specific research funding requirements. Service could include activities internal to the research/outreach unit, COE, and university, and service </w:t>
      </w:r>
      <w:proofErr w:type="gramStart"/>
      <w:r w:rsidRPr="003C765E">
        <w:rPr>
          <w:rFonts w:eastAsiaTheme="minorEastAsia"/>
          <w:color w:val="4472C4" w:themeColor="accent1"/>
        </w:rPr>
        <w:t>benefitting</w:t>
      </w:r>
      <w:proofErr w:type="gramEnd"/>
      <w:r w:rsidRPr="003C765E">
        <w:rPr>
          <w:rFonts w:eastAsiaTheme="minorEastAsia"/>
          <w:color w:val="4472C4" w:themeColor="accent1"/>
        </w:rPr>
        <w:t xml:space="preserve"> the community, state, and profession.</w:t>
      </w:r>
      <w:r w:rsidR="008853DD" w:rsidRPr="003C765E">
        <w:rPr>
          <w:rFonts w:eastAsiaTheme="minorEastAsia"/>
          <w:color w:val="4472C4" w:themeColor="accent1"/>
        </w:rPr>
        <w:t xml:space="preserve"> CRF should discuss their plans for future service with their research/outreach unit supervisor, director, or with a dean </w:t>
      </w:r>
      <w:proofErr w:type="gramStart"/>
      <w:r w:rsidR="008853DD" w:rsidRPr="003C765E">
        <w:rPr>
          <w:rFonts w:eastAsiaTheme="minorEastAsia"/>
          <w:color w:val="4472C4" w:themeColor="accent1"/>
        </w:rPr>
        <w:t>designee</w:t>
      </w:r>
      <w:proofErr w:type="gramEnd"/>
      <w:r w:rsidR="008853DD" w:rsidRPr="003C765E">
        <w:rPr>
          <w:rFonts w:eastAsiaTheme="minorEastAsia"/>
          <w:color w:val="4472C4" w:themeColor="accent1"/>
        </w:rPr>
        <w:t xml:space="preserve"> at least annually.</w:t>
      </w:r>
    </w:p>
    <w:sectPr w:rsidR="00346336" w:rsidSect="00757DEE">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10F" w14:textId="77777777" w:rsidR="00EB5BAA" w:rsidRDefault="00EB5BAA" w:rsidP="00C37764">
      <w:r>
        <w:separator/>
      </w:r>
    </w:p>
  </w:endnote>
  <w:endnote w:type="continuationSeparator" w:id="0">
    <w:p w14:paraId="1A254B7D" w14:textId="77777777" w:rsidR="00EB5BAA" w:rsidRDefault="00EB5BAA" w:rsidP="00C37764">
      <w:r>
        <w:continuationSeparator/>
      </w:r>
    </w:p>
  </w:endnote>
  <w:endnote w:type="continuationNotice" w:id="1">
    <w:p w14:paraId="25FBFEF9" w14:textId="77777777" w:rsidR="00EB5BAA" w:rsidRDefault="00EB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293006"/>
      <w:docPartObj>
        <w:docPartGallery w:val="Page Numbers (Bottom of Page)"/>
        <w:docPartUnique/>
      </w:docPartObj>
    </w:sdtPr>
    <w:sdtEndPr/>
    <w:sdtContent>
      <w:sdt>
        <w:sdtPr>
          <w:id w:val="-1769616900"/>
          <w:docPartObj>
            <w:docPartGallery w:val="Page Numbers (Top of Page)"/>
            <w:docPartUnique/>
          </w:docPartObj>
        </w:sdtPr>
        <w:sdtEndPr/>
        <w:sdtContent>
          <w:p w14:paraId="51A1AFAA" w14:textId="398608EB" w:rsidR="00907AE7" w:rsidRDefault="00907AE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760093" w14:textId="48C4DDDA" w:rsidR="24C209F9" w:rsidRDefault="24C209F9" w:rsidP="24C2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D2AE" w14:textId="77777777" w:rsidR="00EB5BAA" w:rsidRDefault="00EB5BAA" w:rsidP="00C37764">
      <w:r>
        <w:separator/>
      </w:r>
    </w:p>
  </w:footnote>
  <w:footnote w:type="continuationSeparator" w:id="0">
    <w:p w14:paraId="33F8F014" w14:textId="77777777" w:rsidR="00EB5BAA" w:rsidRDefault="00EB5BAA" w:rsidP="00C37764">
      <w:r>
        <w:continuationSeparator/>
      </w:r>
    </w:p>
  </w:footnote>
  <w:footnote w:type="continuationNotice" w:id="1">
    <w:p w14:paraId="70CA0CB2" w14:textId="77777777" w:rsidR="00EB5BAA" w:rsidRDefault="00EB5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C209F9" w14:paraId="20457FF8" w14:textId="77777777" w:rsidTr="24C209F9">
      <w:trPr>
        <w:trHeight w:val="300"/>
      </w:trPr>
      <w:tc>
        <w:tcPr>
          <w:tcW w:w="3120" w:type="dxa"/>
        </w:tcPr>
        <w:p w14:paraId="52002473" w14:textId="7AC4FA11" w:rsidR="24C209F9" w:rsidRDefault="24C209F9" w:rsidP="24C209F9">
          <w:pPr>
            <w:pStyle w:val="Header"/>
            <w:ind w:left="-115"/>
          </w:pPr>
        </w:p>
      </w:tc>
      <w:tc>
        <w:tcPr>
          <w:tcW w:w="3120" w:type="dxa"/>
        </w:tcPr>
        <w:p w14:paraId="0CD495C3" w14:textId="55153E9E" w:rsidR="24C209F9" w:rsidRDefault="24C209F9" w:rsidP="24C209F9">
          <w:pPr>
            <w:pStyle w:val="Header"/>
            <w:jc w:val="center"/>
          </w:pPr>
        </w:p>
      </w:tc>
      <w:tc>
        <w:tcPr>
          <w:tcW w:w="3120" w:type="dxa"/>
        </w:tcPr>
        <w:p w14:paraId="762D5387" w14:textId="2F75DE74" w:rsidR="24C209F9" w:rsidRDefault="24C209F9" w:rsidP="24C209F9">
          <w:pPr>
            <w:pStyle w:val="Header"/>
            <w:ind w:right="-115"/>
            <w:jc w:val="right"/>
          </w:pPr>
        </w:p>
      </w:tc>
    </w:tr>
  </w:tbl>
  <w:p w14:paraId="73F72532" w14:textId="4E8942F2" w:rsidR="24C209F9" w:rsidRDefault="24C209F9" w:rsidP="24C209F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izVNHEc" int2:invalidationBookmarkName="" int2:hashCode="e0dMsLOcF3PXGS" int2:id="N4kqzyP4">
      <int2:state int2:value="Rejected" int2:type="AugLoop_Text_Critique"/>
    </int2:bookmark>
    <int2:bookmark int2:bookmarkName="_Int_RFgNgskm" int2:invalidationBookmarkName="" int2:hashCode="c5HhFoHn82wrJU" int2:id="D9b4Y5JS">
      <int2:state int2:value="Rejected" int2:type="AugLoop_Text_Critique"/>
    </int2:bookmark>
    <int2:bookmark int2:bookmarkName="_Int_09kns1GO" int2:invalidationBookmarkName="" int2:hashCode="e0dMsLOcF3PXGS" int2:id="Rlm4dH9h">
      <int2:state int2:value="Rejected" int2:type="AugLoop_Text_Critique"/>
    </int2:bookmark>
    <int2:bookmark int2:bookmarkName="_Int_6Q1XpugF" int2:invalidationBookmarkName="" int2:hashCode="i5zSQUYLYfTD4Y" int2:id="q4gexyoN">
      <int2:state int2:value="Rejected" int2:type="AugLoop_Text_Critique"/>
    </int2:bookmark>
    <int2:bookmark int2:bookmarkName="_Int_OE57W2p3" int2:invalidationBookmarkName="" int2:hashCode="6sibeDXe50BufB" int2:id="ruV0brcY">
      <int2:state int2:value="Rejected" int2:type="AugLoop_Text_Critique"/>
    </int2:bookmark>
    <int2:bookmark int2:bookmarkName="_Int_R1ftt7U5" int2:invalidationBookmarkName="" int2:hashCode="muBQjDG4PrdHHc" int2:id="Bj4QfQp5">
      <int2:state int2:value="Rejected" int2:type="AugLoop_Text_Critique"/>
    </int2:bookmark>
    <int2:bookmark int2:bookmarkName="_Int_H6iFrHZa" int2:invalidationBookmarkName="" int2:hashCode="TPW8Wb7p4cRMYl" int2:id="raZoQ2h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C61"/>
    <w:multiLevelType w:val="multilevel"/>
    <w:tmpl w:val="21CE51C6"/>
    <w:styleLink w:val="CurrentList1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F3403"/>
    <w:multiLevelType w:val="multilevel"/>
    <w:tmpl w:val="92763DEE"/>
    <w:styleLink w:val="CurrentList35"/>
    <w:lvl w:ilvl="0">
      <w:start w:val="1"/>
      <w:numFmt w:val="bullet"/>
      <w:lvlText w:val=""/>
      <w:lvlJc w:val="left"/>
      <w:pPr>
        <w:ind w:left="1368" w:hanging="288"/>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4514F61"/>
    <w:multiLevelType w:val="multilevel"/>
    <w:tmpl w:val="4A82F1F8"/>
    <w:styleLink w:val="CurrentList36"/>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5C8AA"/>
    <w:multiLevelType w:val="hybridMultilevel"/>
    <w:tmpl w:val="EA4606F8"/>
    <w:lvl w:ilvl="0" w:tplc="CBE4726C">
      <w:start w:val="1"/>
      <w:numFmt w:val="bullet"/>
      <w:lvlText w:val=""/>
      <w:lvlJc w:val="left"/>
      <w:pPr>
        <w:ind w:left="1080" w:hanging="360"/>
      </w:pPr>
      <w:rPr>
        <w:rFonts w:ascii="Symbol" w:hAnsi="Symbol" w:hint="default"/>
      </w:rPr>
    </w:lvl>
    <w:lvl w:ilvl="1" w:tplc="2194B57E">
      <w:start w:val="1"/>
      <w:numFmt w:val="bullet"/>
      <w:lvlText w:val="o"/>
      <w:lvlJc w:val="left"/>
      <w:pPr>
        <w:ind w:left="1800" w:hanging="360"/>
      </w:pPr>
      <w:rPr>
        <w:rFonts w:ascii="Courier New" w:hAnsi="Courier New" w:hint="default"/>
      </w:rPr>
    </w:lvl>
    <w:lvl w:ilvl="2" w:tplc="44C49C1E">
      <w:start w:val="1"/>
      <w:numFmt w:val="bullet"/>
      <w:lvlText w:val=""/>
      <w:lvlJc w:val="left"/>
      <w:pPr>
        <w:ind w:left="2520" w:hanging="360"/>
      </w:pPr>
      <w:rPr>
        <w:rFonts w:ascii="Wingdings" w:hAnsi="Wingdings" w:hint="default"/>
      </w:rPr>
    </w:lvl>
    <w:lvl w:ilvl="3" w:tplc="9AE2707A">
      <w:start w:val="1"/>
      <w:numFmt w:val="bullet"/>
      <w:lvlText w:val=""/>
      <w:lvlJc w:val="left"/>
      <w:pPr>
        <w:ind w:left="3240" w:hanging="360"/>
      </w:pPr>
      <w:rPr>
        <w:rFonts w:ascii="Symbol" w:hAnsi="Symbol" w:hint="default"/>
      </w:rPr>
    </w:lvl>
    <w:lvl w:ilvl="4" w:tplc="80B8B60C">
      <w:start w:val="1"/>
      <w:numFmt w:val="bullet"/>
      <w:lvlText w:val="o"/>
      <w:lvlJc w:val="left"/>
      <w:pPr>
        <w:ind w:left="3960" w:hanging="360"/>
      </w:pPr>
      <w:rPr>
        <w:rFonts w:ascii="Courier New" w:hAnsi="Courier New" w:hint="default"/>
      </w:rPr>
    </w:lvl>
    <w:lvl w:ilvl="5" w:tplc="6F02F80E">
      <w:start w:val="1"/>
      <w:numFmt w:val="bullet"/>
      <w:lvlText w:val=""/>
      <w:lvlJc w:val="left"/>
      <w:pPr>
        <w:ind w:left="4680" w:hanging="360"/>
      </w:pPr>
      <w:rPr>
        <w:rFonts w:ascii="Wingdings" w:hAnsi="Wingdings" w:hint="default"/>
      </w:rPr>
    </w:lvl>
    <w:lvl w:ilvl="6" w:tplc="FBB2898E">
      <w:start w:val="1"/>
      <w:numFmt w:val="bullet"/>
      <w:lvlText w:val=""/>
      <w:lvlJc w:val="left"/>
      <w:pPr>
        <w:ind w:left="5400" w:hanging="360"/>
      </w:pPr>
      <w:rPr>
        <w:rFonts w:ascii="Symbol" w:hAnsi="Symbol" w:hint="default"/>
      </w:rPr>
    </w:lvl>
    <w:lvl w:ilvl="7" w:tplc="B3B813C8">
      <w:start w:val="1"/>
      <w:numFmt w:val="bullet"/>
      <w:lvlText w:val="o"/>
      <w:lvlJc w:val="left"/>
      <w:pPr>
        <w:ind w:left="6120" w:hanging="360"/>
      </w:pPr>
      <w:rPr>
        <w:rFonts w:ascii="Courier New" w:hAnsi="Courier New" w:hint="default"/>
      </w:rPr>
    </w:lvl>
    <w:lvl w:ilvl="8" w:tplc="336AD966">
      <w:start w:val="1"/>
      <w:numFmt w:val="bullet"/>
      <w:lvlText w:val=""/>
      <w:lvlJc w:val="left"/>
      <w:pPr>
        <w:ind w:left="6840" w:hanging="360"/>
      </w:pPr>
      <w:rPr>
        <w:rFonts w:ascii="Wingdings" w:hAnsi="Wingdings" w:hint="default"/>
      </w:rPr>
    </w:lvl>
  </w:abstractNum>
  <w:abstractNum w:abstractNumId="4" w15:restartNumberingAfterBreak="0">
    <w:nsid w:val="09AB1B45"/>
    <w:multiLevelType w:val="hybridMultilevel"/>
    <w:tmpl w:val="E15E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646270"/>
    <w:multiLevelType w:val="multilevel"/>
    <w:tmpl w:val="9A54EEC0"/>
    <w:styleLink w:val="CurrentList19"/>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323AF0"/>
    <w:multiLevelType w:val="multilevel"/>
    <w:tmpl w:val="72FCB64A"/>
    <w:lvl w:ilvl="0">
      <w:start w:val="1"/>
      <w:numFmt w:val="decimal"/>
      <w:lvlText w:val="%1."/>
      <w:lvlJc w:val="left"/>
      <w:pPr>
        <w:ind w:left="720" w:hanging="360"/>
      </w:pPr>
    </w:lvl>
    <w:lvl w:ilvl="1">
      <w:start w:val="1"/>
      <w:numFmt w:val="lowerLetter"/>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267015"/>
    <w:multiLevelType w:val="multilevel"/>
    <w:tmpl w:val="BB589014"/>
    <w:styleLink w:val="CurrentList2"/>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2B6231"/>
    <w:multiLevelType w:val="multilevel"/>
    <w:tmpl w:val="21CE51C6"/>
    <w:styleLink w:val="CurrentList18"/>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8677D7"/>
    <w:multiLevelType w:val="multilevel"/>
    <w:tmpl w:val="50E0269C"/>
    <w:styleLink w:val="CurrentList15"/>
    <w:lvl w:ilvl="0">
      <w:start w:val="1"/>
      <w:numFmt w:val="bullet"/>
      <w:lvlText w:val=""/>
      <w:lvlJc w:val="left"/>
      <w:pPr>
        <w:ind w:left="864" w:hanging="144"/>
      </w:pPr>
      <w:rPr>
        <w:rFonts w:ascii="Symbol" w:hAnsi="Symbol" w:hint="default"/>
      </w:rPr>
    </w:lvl>
    <w:lvl w:ilvl="1">
      <w:start w:val="1"/>
      <w:numFmt w:val="bullet"/>
      <w:lvlText w:val=""/>
      <w:lvlJc w:val="left"/>
      <w:pPr>
        <w:ind w:left="1224" w:hanging="14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363998"/>
    <w:multiLevelType w:val="multilevel"/>
    <w:tmpl w:val="49CED06A"/>
    <w:styleLink w:val="CurrentList21"/>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512" w:firstLine="72"/>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597E61"/>
    <w:multiLevelType w:val="multilevel"/>
    <w:tmpl w:val="34BC5D74"/>
    <w:styleLink w:val="CurrentList29"/>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080" w:hanging="216"/>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43E93"/>
    <w:multiLevelType w:val="multilevel"/>
    <w:tmpl w:val="378C71B8"/>
    <w:styleLink w:val="CurrentList10"/>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286D10"/>
    <w:multiLevelType w:val="hybridMultilevel"/>
    <w:tmpl w:val="BC9E94B0"/>
    <w:lvl w:ilvl="0" w:tplc="9E3CD276">
      <w:start w:val="1"/>
      <w:numFmt w:val="bullet"/>
      <w:lvlText w:val=""/>
      <w:lvlJc w:val="left"/>
      <w:pPr>
        <w:ind w:left="1080" w:hanging="360"/>
      </w:pPr>
      <w:rPr>
        <w:rFonts w:ascii="Symbol" w:hAnsi="Symbol" w:hint="default"/>
      </w:rPr>
    </w:lvl>
    <w:lvl w:ilvl="1" w:tplc="A2368C8A">
      <w:start w:val="1"/>
      <w:numFmt w:val="bullet"/>
      <w:lvlText w:val="o"/>
      <w:lvlJc w:val="left"/>
      <w:pPr>
        <w:ind w:left="1800" w:hanging="360"/>
      </w:pPr>
      <w:rPr>
        <w:rFonts w:ascii="Courier New" w:hAnsi="Courier New" w:hint="default"/>
      </w:rPr>
    </w:lvl>
    <w:lvl w:ilvl="2" w:tplc="24F40AE2">
      <w:start w:val="1"/>
      <w:numFmt w:val="bullet"/>
      <w:lvlText w:val=""/>
      <w:lvlJc w:val="left"/>
      <w:pPr>
        <w:ind w:left="2520" w:hanging="360"/>
      </w:pPr>
      <w:rPr>
        <w:rFonts w:ascii="Wingdings" w:hAnsi="Wingdings" w:hint="default"/>
      </w:rPr>
    </w:lvl>
    <w:lvl w:ilvl="3" w:tplc="F930515C">
      <w:start w:val="1"/>
      <w:numFmt w:val="bullet"/>
      <w:lvlText w:val=""/>
      <w:lvlJc w:val="left"/>
      <w:pPr>
        <w:ind w:left="3240" w:hanging="360"/>
      </w:pPr>
      <w:rPr>
        <w:rFonts w:ascii="Symbol" w:hAnsi="Symbol" w:hint="default"/>
      </w:rPr>
    </w:lvl>
    <w:lvl w:ilvl="4" w:tplc="B3901AD6">
      <w:start w:val="1"/>
      <w:numFmt w:val="bullet"/>
      <w:lvlText w:val="o"/>
      <w:lvlJc w:val="left"/>
      <w:pPr>
        <w:ind w:left="3960" w:hanging="360"/>
      </w:pPr>
      <w:rPr>
        <w:rFonts w:ascii="Courier New" w:hAnsi="Courier New" w:hint="default"/>
      </w:rPr>
    </w:lvl>
    <w:lvl w:ilvl="5" w:tplc="F2484F14">
      <w:start w:val="1"/>
      <w:numFmt w:val="bullet"/>
      <w:lvlText w:val=""/>
      <w:lvlJc w:val="left"/>
      <w:pPr>
        <w:ind w:left="4680" w:hanging="360"/>
      </w:pPr>
      <w:rPr>
        <w:rFonts w:ascii="Wingdings" w:hAnsi="Wingdings" w:hint="default"/>
      </w:rPr>
    </w:lvl>
    <w:lvl w:ilvl="6" w:tplc="2242BE3A">
      <w:start w:val="1"/>
      <w:numFmt w:val="bullet"/>
      <w:lvlText w:val=""/>
      <w:lvlJc w:val="left"/>
      <w:pPr>
        <w:ind w:left="5400" w:hanging="360"/>
      </w:pPr>
      <w:rPr>
        <w:rFonts w:ascii="Symbol" w:hAnsi="Symbol" w:hint="default"/>
      </w:rPr>
    </w:lvl>
    <w:lvl w:ilvl="7" w:tplc="2C0AF6EE">
      <w:start w:val="1"/>
      <w:numFmt w:val="bullet"/>
      <w:lvlText w:val="o"/>
      <w:lvlJc w:val="left"/>
      <w:pPr>
        <w:ind w:left="6120" w:hanging="360"/>
      </w:pPr>
      <w:rPr>
        <w:rFonts w:ascii="Courier New" w:hAnsi="Courier New" w:hint="default"/>
      </w:rPr>
    </w:lvl>
    <w:lvl w:ilvl="8" w:tplc="9C4CA4BC">
      <w:start w:val="1"/>
      <w:numFmt w:val="bullet"/>
      <w:lvlText w:val=""/>
      <w:lvlJc w:val="left"/>
      <w:pPr>
        <w:ind w:left="6840" w:hanging="360"/>
      </w:pPr>
      <w:rPr>
        <w:rFonts w:ascii="Wingdings" w:hAnsi="Wingdings" w:hint="default"/>
      </w:rPr>
    </w:lvl>
  </w:abstractNum>
  <w:abstractNum w:abstractNumId="14" w15:restartNumberingAfterBreak="0">
    <w:nsid w:val="227A527B"/>
    <w:multiLevelType w:val="multilevel"/>
    <w:tmpl w:val="A05A0EC8"/>
    <w:styleLink w:val="CurrentList6"/>
    <w:lvl w:ilvl="0">
      <w:start w:val="1"/>
      <w:numFmt w:val="upperRoman"/>
      <w:lvlText w:val="%1."/>
      <w:lvlJc w:val="right"/>
      <w:pPr>
        <w:ind w:left="432" w:hanging="288"/>
      </w:pPr>
      <w:rPr>
        <w:rFonts w:hint="default"/>
      </w:rPr>
    </w:lvl>
    <w:lvl w:ilvl="1">
      <w:start w:val="1"/>
      <w:numFmt w:val="lowerLetter"/>
      <w:lvlText w:val="%2."/>
      <w:lvlJc w:val="left"/>
      <w:pPr>
        <w:ind w:left="1440" w:hanging="10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899295"/>
    <w:multiLevelType w:val="hybridMultilevel"/>
    <w:tmpl w:val="DA3E1DB8"/>
    <w:lvl w:ilvl="0" w:tplc="95C8A776">
      <w:start w:val="1"/>
      <w:numFmt w:val="decimal"/>
      <w:lvlText w:val="%1."/>
      <w:lvlJc w:val="left"/>
      <w:pPr>
        <w:ind w:left="1080" w:hanging="360"/>
      </w:pPr>
    </w:lvl>
    <w:lvl w:ilvl="1" w:tplc="F56CD432">
      <w:start w:val="1"/>
      <w:numFmt w:val="lowerLetter"/>
      <w:lvlText w:val="%2."/>
      <w:lvlJc w:val="left"/>
      <w:pPr>
        <w:ind w:left="1440" w:hanging="360"/>
      </w:pPr>
    </w:lvl>
    <w:lvl w:ilvl="2" w:tplc="344237CC">
      <w:start w:val="1"/>
      <w:numFmt w:val="lowerRoman"/>
      <w:lvlText w:val="%3."/>
      <w:lvlJc w:val="right"/>
      <w:pPr>
        <w:ind w:left="2160" w:hanging="180"/>
      </w:pPr>
    </w:lvl>
    <w:lvl w:ilvl="3" w:tplc="13342436">
      <w:start w:val="1"/>
      <w:numFmt w:val="decimal"/>
      <w:lvlText w:val="%4."/>
      <w:lvlJc w:val="left"/>
      <w:pPr>
        <w:ind w:left="2880" w:hanging="360"/>
      </w:pPr>
    </w:lvl>
    <w:lvl w:ilvl="4" w:tplc="8B4EB852">
      <w:start w:val="1"/>
      <w:numFmt w:val="lowerLetter"/>
      <w:lvlText w:val="%5."/>
      <w:lvlJc w:val="left"/>
      <w:pPr>
        <w:ind w:left="3600" w:hanging="360"/>
      </w:pPr>
    </w:lvl>
    <w:lvl w:ilvl="5" w:tplc="935CCB74">
      <w:start w:val="1"/>
      <w:numFmt w:val="lowerRoman"/>
      <w:lvlText w:val="%6."/>
      <w:lvlJc w:val="right"/>
      <w:pPr>
        <w:ind w:left="4320" w:hanging="180"/>
      </w:pPr>
    </w:lvl>
    <w:lvl w:ilvl="6" w:tplc="BC325360">
      <w:start w:val="1"/>
      <w:numFmt w:val="decimal"/>
      <w:lvlText w:val="%7."/>
      <w:lvlJc w:val="left"/>
      <w:pPr>
        <w:ind w:left="5040" w:hanging="360"/>
      </w:pPr>
    </w:lvl>
    <w:lvl w:ilvl="7" w:tplc="E118F3BC">
      <w:start w:val="1"/>
      <w:numFmt w:val="lowerLetter"/>
      <w:lvlText w:val="%8."/>
      <w:lvlJc w:val="left"/>
      <w:pPr>
        <w:ind w:left="5760" w:hanging="360"/>
      </w:pPr>
    </w:lvl>
    <w:lvl w:ilvl="8" w:tplc="1EDA0AF4">
      <w:start w:val="1"/>
      <w:numFmt w:val="lowerRoman"/>
      <w:lvlText w:val="%9."/>
      <w:lvlJc w:val="right"/>
      <w:pPr>
        <w:ind w:left="6480" w:hanging="180"/>
      </w:pPr>
    </w:lvl>
  </w:abstractNum>
  <w:abstractNum w:abstractNumId="16" w15:restartNumberingAfterBreak="0">
    <w:nsid w:val="22926764"/>
    <w:multiLevelType w:val="multilevel"/>
    <w:tmpl w:val="E6DC4C10"/>
    <w:styleLink w:val="CurrentList5"/>
    <w:lvl w:ilvl="0">
      <w:start w:val="1"/>
      <w:numFmt w:val="upperRoman"/>
      <w:lvlText w:val="%1."/>
      <w:lvlJc w:val="right"/>
      <w:pPr>
        <w:ind w:left="432"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B47C65"/>
    <w:multiLevelType w:val="multilevel"/>
    <w:tmpl w:val="631E067E"/>
    <w:styleLink w:val="CurrentList31"/>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Roman"/>
      <w:lvlText w:val="%4."/>
      <w:lvlJc w:val="right"/>
      <w:pPr>
        <w:ind w:left="1296" w:hanging="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166E0C"/>
    <w:multiLevelType w:val="multilevel"/>
    <w:tmpl w:val="407A19CA"/>
    <w:styleLink w:val="CurrentList24"/>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889284"/>
    <w:multiLevelType w:val="hybridMultilevel"/>
    <w:tmpl w:val="754EA1AE"/>
    <w:lvl w:ilvl="0" w:tplc="1F6CB6C4">
      <w:start w:val="1"/>
      <w:numFmt w:val="decimal"/>
      <w:lvlText w:val="%1."/>
      <w:lvlJc w:val="left"/>
      <w:pPr>
        <w:ind w:left="705" w:hanging="360"/>
      </w:pPr>
    </w:lvl>
    <w:lvl w:ilvl="1" w:tplc="2CF2A320">
      <w:start w:val="1"/>
      <w:numFmt w:val="lowerLetter"/>
      <w:lvlText w:val="%2."/>
      <w:lvlJc w:val="left"/>
      <w:pPr>
        <w:ind w:left="1440" w:hanging="360"/>
      </w:pPr>
    </w:lvl>
    <w:lvl w:ilvl="2" w:tplc="B38A511E">
      <w:start w:val="1"/>
      <w:numFmt w:val="lowerRoman"/>
      <w:lvlText w:val="%3."/>
      <w:lvlJc w:val="right"/>
      <w:pPr>
        <w:ind w:left="2160" w:hanging="180"/>
      </w:pPr>
    </w:lvl>
    <w:lvl w:ilvl="3" w:tplc="7C1A74B8">
      <w:start w:val="1"/>
      <w:numFmt w:val="decimal"/>
      <w:lvlText w:val="%4."/>
      <w:lvlJc w:val="left"/>
      <w:pPr>
        <w:ind w:left="2880" w:hanging="360"/>
      </w:pPr>
    </w:lvl>
    <w:lvl w:ilvl="4" w:tplc="4AC02A40">
      <w:start w:val="1"/>
      <w:numFmt w:val="lowerLetter"/>
      <w:lvlText w:val="%5."/>
      <w:lvlJc w:val="left"/>
      <w:pPr>
        <w:ind w:left="3600" w:hanging="360"/>
      </w:pPr>
    </w:lvl>
    <w:lvl w:ilvl="5" w:tplc="51F82BA2">
      <w:start w:val="1"/>
      <w:numFmt w:val="lowerRoman"/>
      <w:lvlText w:val="%6."/>
      <w:lvlJc w:val="right"/>
      <w:pPr>
        <w:ind w:left="4320" w:hanging="180"/>
      </w:pPr>
    </w:lvl>
    <w:lvl w:ilvl="6" w:tplc="4FD646BC">
      <w:start w:val="1"/>
      <w:numFmt w:val="decimal"/>
      <w:lvlText w:val="%7."/>
      <w:lvlJc w:val="left"/>
      <w:pPr>
        <w:ind w:left="5040" w:hanging="360"/>
      </w:pPr>
    </w:lvl>
    <w:lvl w:ilvl="7" w:tplc="228A6A14">
      <w:start w:val="1"/>
      <w:numFmt w:val="lowerLetter"/>
      <w:lvlText w:val="%8."/>
      <w:lvlJc w:val="left"/>
      <w:pPr>
        <w:ind w:left="5760" w:hanging="360"/>
      </w:pPr>
    </w:lvl>
    <w:lvl w:ilvl="8" w:tplc="F1CCE604">
      <w:start w:val="1"/>
      <w:numFmt w:val="lowerRoman"/>
      <w:lvlText w:val="%9."/>
      <w:lvlJc w:val="right"/>
      <w:pPr>
        <w:ind w:left="6480" w:hanging="180"/>
      </w:pPr>
    </w:lvl>
  </w:abstractNum>
  <w:abstractNum w:abstractNumId="20" w15:restartNumberingAfterBreak="0">
    <w:nsid w:val="2E664497"/>
    <w:multiLevelType w:val="multilevel"/>
    <w:tmpl w:val="10E8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B46B15"/>
    <w:multiLevelType w:val="hybridMultilevel"/>
    <w:tmpl w:val="9A2CF77A"/>
    <w:lvl w:ilvl="0" w:tplc="CBF4D4E8">
      <w:start w:val="1"/>
      <w:numFmt w:val="upperRoman"/>
      <w:pStyle w:val="Heading1"/>
      <w:lvlText w:val="%1."/>
      <w:lvlJc w:val="right"/>
      <w:pPr>
        <w:ind w:left="432" w:hanging="288"/>
      </w:pPr>
      <w:rPr>
        <w:rFonts w:hint="default"/>
      </w:rPr>
    </w:lvl>
    <w:lvl w:ilvl="1" w:tplc="96F22760">
      <w:start w:val="1"/>
      <w:numFmt w:val="upperLetter"/>
      <w:pStyle w:val="Heading2"/>
      <w:lvlText w:val="%2."/>
      <w:lvlJc w:val="left"/>
      <w:pPr>
        <w:ind w:left="738" w:hanging="288"/>
      </w:pPr>
      <w:rPr>
        <w:rFonts w:hint="default"/>
      </w:rPr>
    </w:lvl>
    <w:lvl w:ilvl="2" w:tplc="9EA803DE">
      <w:start w:val="1"/>
      <w:numFmt w:val="lowerRoman"/>
      <w:pStyle w:val="Heading3"/>
      <w:lvlText w:val="%3."/>
      <w:lvlJc w:val="left"/>
      <w:pPr>
        <w:ind w:left="1224" w:hanging="360"/>
      </w:pPr>
      <w:rPr>
        <w:rFonts w:asciiTheme="minorHAnsi" w:eastAsiaTheme="minorEastAsia" w:hAnsiTheme="minorHAnsi" w:cstheme="minorBidi"/>
      </w:rPr>
    </w:lvl>
    <w:lvl w:ilvl="3" w:tplc="FFFFFFFF">
      <w:start w:val="1"/>
      <w:numFmt w:val="lowerLetter"/>
      <w:lvlText w:val="%4."/>
      <w:lvlJc w:val="left"/>
      <w:pPr>
        <w:ind w:left="1440" w:hanging="288"/>
      </w:pPr>
    </w:lvl>
    <w:lvl w:ilvl="4" w:tplc="C2B2C3CA">
      <w:start w:val="1"/>
      <w:numFmt w:val="decimal"/>
      <w:pStyle w:val="Heading4"/>
      <w:lvlText w:val="%5."/>
      <w:lvlJc w:val="left"/>
      <w:pPr>
        <w:ind w:left="1944" w:hanging="360"/>
      </w:pPr>
      <w:rPr>
        <w:rFonts w:hint="default"/>
        <w:b/>
        <w:bCs/>
      </w:rPr>
    </w:lvl>
    <w:lvl w:ilvl="5" w:tplc="DF2423BE">
      <w:start w:val="1"/>
      <w:numFmt w:val="lowerRoman"/>
      <w:lvlText w:val="%6."/>
      <w:lvlJc w:val="right"/>
      <w:pPr>
        <w:ind w:left="2232" w:hanging="216"/>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FE3"/>
    <w:multiLevelType w:val="multilevel"/>
    <w:tmpl w:val="7E4CA498"/>
    <w:styleLink w:val="CurrentList3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2016" w:hanging="144"/>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6734CC"/>
    <w:multiLevelType w:val="hybridMultilevel"/>
    <w:tmpl w:val="F26C9CA0"/>
    <w:lvl w:ilvl="0" w:tplc="FFFFFFFF">
      <w:start w:val="1"/>
      <w:numFmt w:val="upperRoman"/>
      <w:lvlText w:val="%1."/>
      <w:lvlJc w:val="right"/>
      <w:pPr>
        <w:ind w:left="432" w:hanging="288"/>
      </w:pPr>
      <w:rPr>
        <w:rFonts w:hint="default"/>
      </w:rPr>
    </w:lvl>
    <w:lvl w:ilvl="1" w:tplc="FFFFFFFF">
      <w:start w:val="1"/>
      <w:numFmt w:val="upperLetter"/>
      <w:lvlText w:val="%2."/>
      <w:lvlJc w:val="left"/>
      <w:pPr>
        <w:ind w:left="738" w:hanging="288"/>
      </w:pPr>
      <w:rPr>
        <w:rFonts w:hint="default"/>
      </w:rPr>
    </w:lvl>
    <w:lvl w:ilvl="2" w:tplc="04090001">
      <w:start w:val="1"/>
      <w:numFmt w:val="bullet"/>
      <w:lvlText w:val=""/>
      <w:lvlJc w:val="left"/>
      <w:pPr>
        <w:ind w:left="1224" w:hanging="360"/>
      </w:pPr>
      <w:rPr>
        <w:rFonts w:ascii="Symbol" w:hAnsi="Symbol" w:hint="default"/>
      </w:rPr>
    </w:lvl>
    <w:lvl w:ilvl="3" w:tplc="FFFFFFFF">
      <w:start w:val="1"/>
      <w:numFmt w:val="lowerLetter"/>
      <w:lvlText w:val="%4."/>
      <w:lvlJc w:val="left"/>
      <w:pPr>
        <w:ind w:left="1440" w:hanging="288"/>
      </w:pPr>
    </w:lvl>
    <w:lvl w:ilvl="4" w:tplc="FFFFFFFF">
      <w:start w:val="1"/>
      <w:numFmt w:val="decimal"/>
      <w:lvlText w:val="%5."/>
      <w:lvlJc w:val="left"/>
      <w:pPr>
        <w:ind w:left="1944" w:hanging="360"/>
      </w:pPr>
      <w:rPr>
        <w:rFonts w:hint="default"/>
        <w:b/>
        <w:bCs/>
      </w:rPr>
    </w:lvl>
    <w:lvl w:ilvl="5" w:tplc="FFFFFFFF">
      <w:start w:val="1"/>
      <w:numFmt w:val="lowerRoman"/>
      <w:lvlText w:val="%6."/>
      <w:lvlJc w:val="right"/>
      <w:pPr>
        <w:ind w:left="2232" w:hanging="216"/>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7357F6"/>
    <w:multiLevelType w:val="multilevel"/>
    <w:tmpl w:val="9DDCA10A"/>
    <w:styleLink w:val="CurrentList4"/>
    <w:lvl w:ilvl="0">
      <w:start w:val="1"/>
      <w:numFmt w:val="upperRoman"/>
      <w:lvlText w:val="%1."/>
      <w:lvlJc w:val="right"/>
      <w:pPr>
        <w:ind w:left="43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C3250C"/>
    <w:multiLevelType w:val="multilevel"/>
    <w:tmpl w:val="21CE51C6"/>
    <w:styleLink w:val="CurrentList12"/>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504947"/>
    <w:multiLevelType w:val="multilevel"/>
    <w:tmpl w:val="CD20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867B6E"/>
    <w:multiLevelType w:val="multilevel"/>
    <w:tmpl w:val="9AE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FF2173"/>
    <w:multiLevelType w:val="multilevel"/>
    <w:tmpl w:val="8D4AF4D4"/>
    <w:styleLink w:val="CurrentList34"/>
    <w:lvl w:ilvl="0">
      <w:start w:val="1"/>
      <w:numFmt w:val="bullet"/>
      <w:lvlText w:val=""/>
      <w:lvlJc w:val="left"/>
      <w:pPr>
        <w:ind w:left="1656" w:hanging="216"/>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37C4151B"/>
    <w:multiLevelType w:val="multilevel"/>
    <w:tmpl w:val="B3DEBDCC"/>
    <w:styleLink w:val="CurrentList32"/>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DDC68A"/>
    <w:multiLevelType w:val="hybridMultilevel"/>
    <w:tmpl w:val="6AEA15D0"/>
    <w:lvl w:ilvl="0" w:tplc="2124E35E">
      <w:start w:val="1"/>
      <w:numFmt w:val="decimal"/>
      <w:lvlText w:val="%1."/>
      <w:lvlJc w:val="left"/>
      <w:pPr>
        <w:ind w:left="1080" w:hanging="360"/>
      </w:pPr>
    </w:lvl>
    <w:lvl w:ilvl="1" w:tplc="4E629250">
      <w:start w:val="1"/>
      <w:numFmt w:val="lowerLetter"/>
      <w:lvlText w:val="%2."/>
      <w:lvlJc w:val="left"/>
      <w:pPr>
        <w:ind w:left="1440" w:hanging="360"/>
      </w:pPr>
    </w:lvl>
    <w:lvl w:ilvl="2" w:tplc="96782072">
      <w:start w:val="1"/>
      <w:numFmt w:val="lowerRoman"/>
      <w:lvlText w:val="%3."/>
      <w:lvlJc w:val="right"/>
      <w:pPr>
        <w:ind w:left="2160" w:hanging="180"/>
      </w:pPr>
    </w:lvl>
    <w:lvl w:ilvl="3" w:tplc="3FD2E9C2">
      <w:start w:val="1"/>
      <w:numFmt w:val="decimal"/>
      <w:lvlText w:val="%4."/>
      <w:lvlJc w:val="left"/>
      <w:pPr>
        <w:ind w:left="2880" w:hanging="360"/>
      </w:pPr>
    </w:lvl>
    <w:lvl w:ilvl="4" w:tplc="3CF03A14">
      <w:start w:val="1"/>
      <w:numFmt w:val="lowerLetter"/>
      <w:lvlText w:val="%5."/>
      <w:lvlJc w:val="left"/>
      <w:pPr>
        <w:ind w:left="3600" w:hanging="360"/>
      </w:pPr>
    </w:lvl>
    <w:lvl w:ilvl="5" w:tplc="8A1A8514">
      <w:start w:val="1"/>
      <w:numFmt w:val="lowerRoman"/>
      <w:lvlText w:val="%6."/>
      <w:lvlJc w:val="right"/>
      <w:pPr>
        <w:ind w:left="4320" w:hanging="180"/>
      </w:pPr>
    </w:lvl>
    <w:lvl w:ilvl="6" w:tplc="BA46B738">
      <w:start w:val="1"/>
      <w:numFmt w:val="decimal"/>
      <w:lvlText w:val="%7."/>
      <w:lvlJc w:val="left"/>
      <w:pPr>
        <w:ind w:left="5040" w:hanging="360"/>
      </w:pPr>
    </w:lvl>
    <w:lvl w:ilvl="7" w:tplc="822EC692">
      <w:start w:val="1"/>
      <w:numFmt w:val="lowerLetter"/>
      <w:lvlText w:val="%8."/>
      <w:lvlJc w:val="left"/>
      <w:pPr>
        <w:ind w:left="5760" w:hanging="360"/>
      </w:pPr>
    </w:lvl>
    <w:lvl w:ilvl="8" w:tplc="6706CFA0">
      <w:start w:val="1"/>
      <w:numFmt w:val="lowerRoman"/>
      <w:lvlText w:val="%9."/>
      <w:lvlJc w:val="right"/>
      <w:pPr>
        <w:ind w:left="6480" w:hanging="180"/>
      </w:pPr>
    </w:lvl>
  </w:abstractNum>
  <w:abstractNum w:abstractNumId="31" w15:restartNumberingAfterBreak="0">
    <w:nsid w:val="3B1D74D8"/>
    <w:multiLevelType w:val="multilevel"/>
    <w:tmpl w:val="4158356A"/>
    <w:styleLink w:val="CurrentList13"/>
    <w:lvl w:ilvl="0">
      <w:start w:val="1"/>
      <w:numFmt w:val="bullet"/>
      <w:lvlText w:val=""/>
      <w:lvlJc w:val="left"/>
      <w:pPr>
        <w:ind w:left="648" w:hanging="216"/>
      </w:pPr>
      <w:rPr>
        <w:rFonts w:ascii="Symbol" w:hAnsi="Symbol" w:hint="default"/>
        <w:b w:val="0"/>
        <w:bCs w:val="0"/>
        <w:i w:val="0"/>
        <w:iCs w:val="0"/>
        <w:w w:val="91"/>
        <w:sz w:val="22"/>
        <w:szCs w:val="22"/>
        <w:lang w:val="en-US" w:eastAsia="en-US" w:bidi="ar-SA"/>
      </w:rPr>
    </w:lvl>
    <w:lvl w:ilvl="1">
      <w:numFmt w:val="bullet"/>
      <w:lvlText w:val="•"/>
      <w:lvlJc w:val="left"/>
      <w:pPr>
        <w:ind w:left="1859" w:hanging="947"/>
      </w:pPr>
      <w:rPr>
        <w:rFonts w:hint="default"/>
        <w:lang w:val="en-US" w:eastAsia="en-US" w:bidi="ar-SA"/>
      </w:rPr>
    </w:lvl>
    <w:lvl w:ilvl="2">
      <w:numFmt w:val="bullet"/>
      <w:lvlText w:val="•"/>
      <w:lvlJc w:val="left"/>
      <w:pPr>
        <w:ind w:left="2771" w:hanging="947"/>
      </w:pPr>
      <w:rPr>
        <w:rFonts w:hint="default"/>
        <w:lang w:val="en-US" w:eastAsia="en-US" w:bidi="ar-SA"/>
      </w:rPr>
    </w:lvl>
    <w:lvl w:ilvl="3">
      <w:numFmt w:val="bullet"/>
      <w:lvlText w:val="•"/>
      <w:lvlJc w:val="left"/>
      <w:pPr>
        <w:ind w:left="3683" w:hanging="947"/>
      </w:pPr>
      <w:rPr>
        <w:rFonts w:hint="default"/>
        <w:lang w:val="en-US" w:eastAsia="en-US" w:bidi="ar-SA"/>
      </w:rPr>
    </w:lvl>
    <w:lvl w:ilvl="4">
      <w:numFmt w:val="bullet"/>
      <w:lvlText w:val="•"/>
      <w:lvlJc w:val="left"/>
      <w:pPr>
        <w:ind w:left="4595" w:hanging="947"/>
      </w:pPr>
      <w:rPr>
        <w:rFonts w:hint="default"/>
        <w:lang w:val="en-US" w:eastAsia="en-US" w:bidi="ar-SA"/>
      </w:rPr>
    </w:lvl>
    <w:lvl w:ilvl="5">
      <w:numFmt w:val="bullet"/>
      <w:lvlText w:val="•"/>
      <w:lvlJc w:val="left"/>
      <w:pPr>
        <w:ind w:left="5507" w:hanging="947"/>
      </w:pPr>
      <w:rPr>
        <w:rFonts w:hint="default"/>
        <w:lang w:val="en-US" w:eastAsia="en-US" w:bidi="ar-SA"/>
      </w:rPr>
    </w:lvl>
    <w:lvl w:ilvl="6">
      <w:numFmt w:val="bullet"/>
      <w:lvlText w:val="•"/>
      <w:lvlJc w:val="left"/>
      <w:pPr>
        <w:ind w:left="6419" w:hanging="947"/>
      </w:pPr>
      <w:rPr>
        <w:rFonts w:hint="default"/>
        <w:lang w:val="en-US" w:eastAsia="en-US" w:bidi="ar-SA"/>
      </w:rPr>
    </w:lvl>
    <w:lvl w:ilvl="7">
      <w:numFmt w:val="bullet"/>
      <w:lvlText w:val="•"/>
      <w:lvlJc w:val="left"/>
      <w:pPr>
        <w:ind w:left="7331" w:hanging="947"/>
      </w:pPr>
      <w:rPr>
        <w:rFonts w:hint="default"/>
        <w:lang w:val="en-US" w:eastAsia="en-US" w:bidi="ar-SA"/>
      </w:rPr>
    </w:lvl>
    <w:lvl w:ilvl="8">
      <w:numFmt w:val="bullet"/>
      <w:lvlText w:val="•"/>
      <w:lvlJc w:val="left"/>
      <w:pPr>
        <w:ind w:left="8243" w:hanging="947"/>
      </w:pPr>
      <w:rPr>
        <w:rFonts w:hint="default"/>
        <w:lang w:val="en-US" w:eastAsia="en-US" w:bidi="ar-SA"/>
      </w:rPr>
    </w:lvl>
  </w:abstractNum>
  <w:abstractNum w:abstractNumId="32" w15:restartNumberingAfterBreak="0">
    <w:nsid w:val="3DA14964"/>
    <w:multiLevelType w:val="hybridMultilevel"/>
    <w:tmpl w:val="B87A9D64"/>
    <w:lvl w:ilvl="0" w:tplc="6D02766E">
      <w:start w:val="1"/>
      <w:numFmt w:val="lowerLetter"/>
      <w:lvlText w:val="%1)"/>
      <w:lvlJc w:val="left"/>
      <w:pPr>
        <w:ind w:left="720" w:hanging="360"/>
      </w:pPr>
    </w:lvl>
    <w:lvl w:ilvl="1" w:tplc="E8EC5834">
      <w:start w:val="1"/>
      <w:numFmt w:val="lowerLetter"/>
      <w:lvlText w:val="%2."/>
      <w:lvlJc w:val="left"/>
      <w:pPr>
        <w:ind w:left="1440" w:hanging="360"/>
      </w:pPr>
    </w:lvl>
    <w:lvl w:ilvl="2" w:tplc="39C4A362">
      <w:start w:val="1"/>
      <w:numFmt w:val="lowerRoman"/>
      <w:lvlText w:val="%3."/>
      <w:lvlJc w:val="right"/>
      <w:pPr>
        <w:ind w:left="2160" w:hanging="180"/>
      </w:pPr>
    </w:lvl>
    <w:lvl w:ilvl="3" w:tplc="99E2EC30">
      <w:start w:val="1"/>
      <w:numFmt w:val="decimal"/>
      <w:lvlText w:val="%4."/>
      <w:lvlJc w:val="left"/>
      <w:pPr>
        <w:ind w:left="2880" w:hanging="360"/>
      </w:pPr>
    </w:lvl>
    <w:lvl w:ilvl="4" w:tplc="954E53C0">
      <w:start w:val="1"/>
      <w:numFmt w:val="lowerLetter"/>
      <w:lvlText w:val="%5."/>
      <w:lvlJc w:val="left"/>
      <w:pPr>
        <w:ind w:left="3600" w:hanging="360"/>
      </w:pPr>
    </w:lvl>
    <w:lvl w:ilvl="5" w:tplc="58C04A64">
      <w:start w:val="1"/>
      <w:numFmt w:val="lowerRoman"/>
      <w:lvlText w:val="%6."/>
      <w:lvlJc w:val="right"/>
      <w:pPr>
        <w:ind w:left="4320" w:hanging="180"/>
      </w:pPr>
    </w:lvl>
    <w:lvl w:ilvl="6" w:tplc="596C1736">
      <w:start w:val="1"/>
      <w:numFmt w:val="decimal"/>
      <w:lvlText w:val="%7."/>
      <w:lvlJc w:val="left"/>
      <w:pPr>
        <w:ind w:left="5040" w:hanging="360"/>
      </w:pPr>
    </w:lvl>
    <w:lvl w:ilvl="7" w:tplc="EC86633C">
      <w:start w:val="1"/>
      <w:numFmt w:val="lowerLetter"/>
      <w:lvlText w:val="%8."/>
      <w:lvlJc w:val="left"/>
      <w:pPr>
        <w:ind w:left="5760" w:hanging="360"/>
      </w:pPr>
    </w:lvl>
    <w:lvl w:ilvl="8" w:tplc="77348640">
      <w:start w:val="1"/>
      <w:numFmt w:val="lowerRoman"/>
      <w:lvlText w:val="%9."/>
      <w:lvlJc w:val="right"/>
      <w:pPr>
        <w:ind w:left="6480" w:hanging="180"/>
      </w:pPr>
    </w:lvl>
  </w:abstractNum>
  <w:abstractNum w:abstractNumId="33" w15:restartNumberingAfterBreak="0">
    <w:nsid w:val="40CD418F"/>
    <w:multiLevelType w:val="multilevel"/>
    <w:tmpl w:val="3790D64C"/>
    <w:styleLink w:val="CurrentList30"/>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01485E"/>
    <w:multiLevelType w:val="multilevel"/>
    <w:tmpl w:val="4524C25E"/>
    <w:styleLink w:val="CurrentList8"/>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2340" w:hanging="1476"/>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46056D"/>
    <w:multiLevelType w:val="multilevel"/>
    <w:tmpl w:val="4A82F1F8"/>
    <w:styleLink w:val="CurrentList37"/>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7F018B2"/>
    <w:multiLevelType w:val="multilevel"/>
    <w:tmpl w:val="B2AC02FC"/>
    <w:styleLink w:val="CurrentList2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DF48F8"/>
    <w:multiLevelType w:val="multilevel"/>
    <w:tmpl w:val="D4F44E00"/>
    <w:styleLink w:val="CurrentList23"/>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00" w:hanging="216"/>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AD152E"/>
    <w:multiLevelType w:val="hybridMultilevel"/>
    <w:tmpl w:val="C4C41CEA"/>
    <w:lvl w:ilvl="0" w:tplc="C0422FA4">
      <w:start w:val="1"/>
      <w:numFmt w:val="decimal"/>
      <w:lvlText w:val="%1."/>
      <w:lvlJc w:val="left"/>
      <w:pPr>
        <w:ind w:left="720" w:hanging="360"/>
      </w:pPr>
    </w:lvl>
    <w:lvl w:ilvl="1" w:tplc="01D6BBF4">
      <w:start w:val="1"/>
      <w:numFmt w:val="lowerLetter"/>
      <w:lvlText w:val="%2."/>
      <w:lvlJc w:val="left"/>
      <w:pPr>
        <w:ind w:left="1440" w:hanging="360"/>
      </w:pPr>
    </w:lvl>
    <w:lvl w:ilvl="2" w:tplc="032AD20C">
      <w:start w:val="1"/>
      <w:numFmt w:val="lowerRoman"/>
      <w:lvlText w:val="%3."/>
      <w:lvlJc w:val="right"/>
      <w:pPr>
        <w:ind w:left="2160" w:hanging="180"/>
      </w:pPr>
    </w:lvl>
    <w:lvl w:ilvl="3" w:tplc="AC129B4E">
      <w:start w:val="1"/>
      <w:numFmt w:val="decimal"/>
      <w:lvlText w:val="%4."/>
      <w:lvlJc w:val="left"/>
      <w:pPr>
        <w:ind w:left="2880" w:hanging="360"/>
      </w:pPr>
    </w:lvl>
    <w:lvl w:ilvl="4" w:tplc="9ADEC642">
      <w:start w:val="1"/>
      <w:numFmt w:val="lowerLetter"/>
      <w:lvlText w:val="%5."/>
      <w:lvlJc w:val="left"/>
      <w:pPr>
        <w:ind w:left="3600" w:hanging="360"/>
      </w:pPr>
    </w:lvl>
    <w:lvl w:ilvl="5" w:tplc="8E7CBFF6">
      <w:start w:val="1"/>
      <w:numFmt w:val="lowerRoman"/>
      <w:lvlText w:val="%6."/>
      <w:lvlJc w:val="right"/>
      <w:pPr>
        <w:ind w:left="4320" w:hanging="180"/>
      </w:pPr>
    </w:lvl>
    <w:lvl w:ilvl="6" w:tplc="BFD86396">
      <w:start w:val="1"/>
      <w:numFmt w:val="decimal"/>
      <w:lvlText w:val="%7."/>
      <w:lvlJc w:val="left"/>
      <w:pPr>
        <w:ind w:left="5040" w:hanging="360"/>
      </w:pPr>
    </w:lvl>
    <w:lvl w:ilvl="7" w:tplc="EB7A44F2">
      <w:start w:val="1"/>
      <w:numFmt w:val="lowerLetter"/>
      <w:lvlText w:val="%8."/>
      <w:lvlJc w:val="left"/>
      <w:pPr>
        <w:ind w:left="5760" w:hanging="360"/>
      </w:pPr>
    </w:lvl>
    <w:lvl w:ilvl="8" w:tplc="83388A38">
      <w:start w:val="1"/>
      <w:numFmt w:val="lowerRoman"/>
      <w:lvlText w:val="%9."/>
      <w:lvlJc w:val="right"/>
      <w:pPr>
        <w:ind w:left="6480" w:hanging="180"/>
      </w:pPr>
    </w:lvl>
  </w:abstractNum>
  <w:abstractNum w:abstractNumId="39" w15:restartNumberingAfterBreak="0">
    <w:nsid w:val="4F5072EE"/>
    <w:multiLevelType w:val="multilevel"/>
    <w:tmpl w:val="60121AE0"/>
    <w:styleLink w:val="CurrentList22"/>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584" w:firstLine="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775C85"/>
    <w:multiLevelType w:val="multilevel"/>
    <w:tmpl w:val="33629C60"/>
    <w:styleLink w:val="CurrentList9"/>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091589"/>
    <w:multiLevelType w:val="multilevel"/>
    <w:tmpl w:val="7722BBC2"/>
    <w:styleLink w:val="CurrentList20"/>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440" w:firstLine="144"/>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7A6A27"/>
    <w:multiLevelType w:val="multilevel"/>
    <w:tmpl w:val="2C82F62A"/>
    <w:styleLink w:val="CurrentList14"/>
    <w:lvl w:ilvl="0">
      <w:start w:val="1"/>
      <w:numFmt w:val="bullet"/>
      <w:lvlText w:val=""/>
      <w:lvlJc w:val="left"/>
      <w:pPr>
        <w:ind w:left="86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F02F91"/>
    <w:multiLevelType w:val="multilevel"/>
    <w:tmpl w:val="DB6ECE72"/>
    <w:styleLink w:val="CurrentList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1613AA"/>
    <w:multiLevelType w:val="multilevel"/>
    <w:tmpl w:val="B5D05FDE"/>
    <w:styleLink w:val="CurrentList3"/>
    <w:lvl w:ilvl="0">
      <w:start w:val="1"/>
      <w:numFmt w:val="upperRoman"/>
      <w:lvlText w:val="%1."/>
      <w:lvlJc w:val="righ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CF64E5"/>
    <w:multiLevelType w:val="multilevel"/>
    <w:tmpl w:val="50E0269C"/>
    <w:styleLink w:val="CurrentList16"/>
    <w:lvl w:ilvl="0">
      <w:start w:val="1"/>
      <w:numFmt w:val="bullet"/>
      <w:lvlText w:val=""/>
      <w:lvlJc w:val="left"/>
      <w:pPr>
        <w:ind w:left="864" w:hanging="144"/>
      </w:pPr>
      <w:rPr>
        <w:rFonts w:ascii="Symbol" w:hAnsi="Symbol" w:hint="default"/>
      </w:rPr>
    </w:lvl>
    <w:lvl w:ilvl="1">
      <w:start w:val="1"/>
      <w:numFmt w:val="bullet"/>
      <w:lvlText w:val=""/>
      <w:lvlJc w:val="left"/>
      <w:pPr>
        <w:ind w:left="1224" w:hanging="14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7E61"/>
    <w:multiLevelType w:val="multilevel"/>
    <w:tmpl w:val="271845E2"/>
    <w:styleLink w:val="CurrentList2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56A68"/>
    <w:multiLevelType w:val="multilevel"/>
    <w:tmpl w:val="34EA83B8"/>
    <w:styleLink w:val="CurrentList25"/>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162295"/>
    <w:multiLevelType w:val="multilevel"/>
    <w:tmpl w:val="E28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2E5C66"/>
    <w:multiLevelType w:val="hybridMultilevel"/>
    <w:tmpl w:val="A296FE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0" w15:restartNumberingAfterBreak="0">
    <w:nsid w:val="73DE69B1"/>
    <w:multiLevelType w:val="multilevel"/>
    <w:tmpl w:val="18AE4438"/>
    <w:styleLink w:val="CurrentList33"/>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3A7C31"/>
    <w:multiLevelType w:val="multilevel"/>
    <w:tmpl w:val="34EA83B8"/>
    <w:styleLink w:val="CurrentList26"/>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A321D27"/>
    <w:multiLevelType w:val="multilevel"/>
    <w:tmpl w:val="FF121474"/>
    <w:styleLink w:val="CurrentList11"/>
    <w:lvl w:ilvl="0">
      <w:start w:val="1"/>
      <w:numFmt w:val="bullet"/>
      <w:lvlText w:val=""/>
      <w:lvlJc w:val="left"/>
      <w:pPr>
        <w:ind w:left="360" w:hanging="360"/>
      </w:pPr>
      <w:rPr>
        <w:rFonts w:ascii="Symbol" w:hAnsi="Symbol" w:hint="default"/>
        <w:b w:val="0"/>
        <w:bCs w:val="0"/>
        <w:i w:val="0"/>
        <w:iCs w:val="0"/>
        <w:w w:val="91"/>
        <w:sz w:val="22"/>
        <w:szCs w:val="22"/>
        <w:lang w:val="en-US" w:eastAsia="en-US" w:bidi="ar-SA"/>
      </w:rPr>
    </w:lvl>
    <w:lvl w:ilvl="1">
      <w:numFmt w:val="bullet"/>
      <w:lvlText w:val="•"/>
      <w:lvlJc w:val="left"/>
      <w:pPr>
        <w:ind w:left="1859" w:hanging="947"/>
      </w:pPr>
      <w:rPr>
        <w:rFonts w:hint="default"/>
        <w:lang w:val="en-US" w:eastAsia="en-US" w:bidi="ar-SA"/>
      </w:rPr>
    </w:lvl>
    <w:lvl w:ilvl="2">
      <w:numFmt w:val="bullet"/>
      <w:lvlText w:val="•"/>
      <w:lvlJc w:val="left"/>
      <w:pPr>
        <w:ind w:left="2771" w:hanging="947"/>
      </w:pPr>
      <w:rPr>
        <w:rFonts w:hint="default"/>
        <w:lang w:val="en-US" w:eastAsia="en-US" w:bidi="ar-SA"/>
      </w:rPr>
    </w:lvl>
    <w:lvl w:ilvl="3">
      <w:numFmt w:val="bullet"/>
      <w:lvlText w:val="•"/>
      <w:lvlJc w:val="left"/>
      <w:pPr>
        <w:ind w:left="3683" w:hanging="947"/>
      </w:pPr>
      <w:rPr>
        <w:rFonts w:hint="default"/>
        <w:lang w:val="en-US" w:eastAsia="en-US" w:bidi="ar-SA"/>
      </w:rPr>
    </w:lvl>
    <w:lvl w:ilvl="4">
      <w:numFmt w:val="bullet"/>
      <w:lvlText w:val="•"/>
      <w:lvlJc w:val="left"/>
      <w:pPr>
        <w:ind w:left="4595" w:hanging="947"/>
      </w:pPr>
      <w:rPr>
        <w:rFonts w:hint="default"/>
        <w:lang w:val="en-US" w:eastAsia="en-US" w:bidi="ar-SA"/>
      </w:rPr>
    </w:lvl>
    <w:lvl w:ilvl="5">
      <w:numFmt w:val="bullet"/>
      <w:lvlText w:val="•"/>
      <w:lvlJc w:val="left"/>
      <w:pPr>
        <w:ind w:left="5507" w:hanging="947"/>
      </w:pPr>
      <w:rPr>
        <w:rFonts w:hint="default"/>
        <w:lang w:val="en-US" w:eastAsia="en-US" w:bidi="ar-SA"/>
      </w:rPr>
    </w:lvl>
    <w:lvl w:ilvl="6">
      <w:numFmt w:val="bullet"/>
      <w:lvlText w:val="•"/>
      <w:lvlJc w:val="left"/>
      <w:pPr>
        <w:ind w:left="6419" w:hanging="947"/>
      </w:pPr>
      <w:rPr>
        <w:rFonts w:hint="default"/>
        <w:lang w:val="en-US" w:eastAsia="en-US" w:bidi="ar-SA"/>
      </w:rPr>
    </w:lvl>
    <w:lvl w:ilvl="7">
      <w:numFmt w:val="bullet"/>
      <w:lvlText w:val="•"/>
      <w:lvlJc w:val="left"/>
      <w:pPr>
        <w:ind w:left="7331" w:hanging="947"/>
      </w:pPr>
      <w:rPr>
        <w:rFonts w:hint="default"/>
        <w:lang w:val="en-US" w:eastAsia="en-US" w:bidi="ar-SA"/>
      </w:rPr>
    </w:lvl>
    <w:lvl w:ilvl="8">
      <w:numFmt w:val="bullet"/>
      <w:lvlText w:val="•"/>
      <w:lvlJc w:val="left"/>
      <w:pPr>
        <w:ind w:left="8243" w:hanging="947"/>
      </w:pPr>
      <w:rPr>
        <w:rFonts w:hint="default"/>
        <w:lang w:val="en-US" w:eastAsia="en-US" w:bidi="ar-SA"/>
      </w:rPr>
    </w:lvl>
  </w:abstractNum>
  <w:num w:numId="1" w16cid:durableId="1338533766">
    <w:abstractNumId w:val="3"/>
  </w:num>
  <w:num w:numId="2" w16cid:durableId="1435903907">
    <w:abstractNumId w:val="13"/>
  </w:num>
  <w:num w:numId="3" w16cid:durableId="299850108">
    <w:abstractNumId w:val="21"/>
  </w:num>
  <w:num w:numId="4" w16cid:durableId="1847476337">
    <w:abstractNumId w:val="27"/>
  </w:num>
  <w:num w:numId="5" w16cid:durableId="459693346">
    <w:abstractNumId w:val="7"/>
  </w:num>
  <w:num w:numId="6" w16cid:durableId="184634311">
    <w:abstractNumId w:val="44"/>
  </w:num>
  <w:num w:numId="7" w16cid:durableId="1240016151">
    <w:abstractNumId w:val="24"/>
  </w:num>
  <w:num w:numId="8" w16cid:durableId="1181746738">
    <w:abstractNumId w:val="16"/>
  </w:num>
  <w:num w:numId="9" w16cid:durableId="53284872">
    <w:abstractNumId w:val="14"/>
  </w:num>
  <w:num w:numId="10" w16cid:durableId="118914938">
    <w:abstractNumId w:val="43"/>
  </w:num>
  <w:num w:numId="11" w16cid:durableId="248275350">
    <w:abstractNumId w:val="34"/>
  </w:num>
  <w:num w:numId="12" w16cid:durableId="397214199">
    <w:abstractNumId w:val="40"/>
  </w:num>
  <w:num w:numId="13" w16cid:durableId="1575044577">
    <w:abstractNumId w:val="12"/>
  </w:num>
  <w:num w:numId="14" w16cid:durableId="194583710">
    <w:abstractNumId w:val="52"/>
  </w:num>
  <w:num w:numId="15" w16cid:durableId="1678338511">
    <w:abstractNumId w:val="25"/>
  </w:num>
  <w:num w:numId="16" w16cid:durableId="1529686051">
    <w:abstractNumId w:val="31"/>
  </w:num>
  <w:num w:numId="17" w16cid:durableId="395975527">
    <w:abstractNumId w:val="42"/>
  </w:num>
  <w:num w:numId="18" w16cid:durableId="1252082435">
    <w:abstractNumId w:val="9"/>
  </w:num>
  <w:num w:numId="19" w16cid:durableId="1819955657">
    <w:abstractNumId w:val="45"/>
  </w:num>
  <w:num w:numId="20" w16cid:durableId="290986962">
    <w:abstractNumId w:val="0"/>
  </w:num>
  <w:num w:numId="21" w16cid:durableId="1040471523">
    <w:abstractNumId w:val="8"/>
  </w:num>
  <w:num w:numId="22" w16cid:durableId="971986017">
    <w:abstractNumId w:val="5"/>
  </w:num>
  <w:num w:numId="23" w16cid:durableId="1571034918">
    <w:abstractNumId w:val="41"/>
  </w:num>
  <w:num w:numId="24" w16cid:durableId="837574223">
    <w:abstractNumId w:val="10"/>
  </w:num>
  <w:num w:numId="25" w16cid:durableId="1854684924">
    <w:abstractNumId w:val="39"/>
  </w:num>
  <w:num w:numId="26" w16cid:durableId="210075413">
    <w:abstractNumId w:val="37"/>
  </w:num>
  <w:num w:numId="27" w16cid:durableId="260339053">
    <w:abstractNumId w:val="18"/>
  </w:num>
  <w:num w:numId="28" w16cid:durableId="1820150496">
    <w:abstractNumId w:val="47"/>
  </w:num>
  <w:num w:numId="29" w16cid:durableId="1124301401">
    <w:abstractNumId w:val="51"/>
  </w:num>
  <w:num w:numId="30" w16cid:durableId="842935418">
    <w:abstractNumId w:val="46"/>
  </w:num>
  <w:num w:numId="31" w16cid:durableId="251933440">
    <w:abstractNumId w:val="36"/>
  </w:num>
  <w:num w:numId="32" w16cid:durableId="333076796">
    <w:abstractNumId w:val="11"/>
  </w:num>
  <w:num w:numId="33" w16cid:durableId="1567258387">
    <w:abstractNumId w:val="33"/>
  </w:num>
  <w:num w:numId="34" w16cid:durableId="2036419678">
    <w:abstractNumId w:val="17"/>
  </w:num>
  <w:num w:numId="35" w16cid:durableId="1396468089">
    <w:abstractNumId w:val="29"/>
  </w:num>
  <w:num w:numId="36" w16cid:durableId="2082553694">
    <w:abstractNumId w:val="50"/>
  </w:num>
  <w:num w:numId="37" w16cid:durableId="1784381236">
    <w:abstractNumId w:val="28"/>
  </w:num>
  <w:num w:numId="38" w16cid:durableId="397022798">
    <w:abstractNumId w:val="1"/>
  </w:num>
  <w:num w:numId="39" w16cid:durableId="2145729337">
    <w:abstractNumId w:val="2"/>
  </w:num>
  <w:num w:numId="40" w16cid:durableId="1685404554">
    <w:abstractNumId w:val="35"/>
  </w:num>
  <w:num w:numId="41" w16cid:durableId="732698229">
    <w:abstractNumId w:val="22"/>
  </w:num>
  <w:num w:numId="42" w16cid:durableId="1747723659">
    <w:abstractNumId w:val="49"/>
  </w:num>
  <w:num w:numId="43" w16cid:durableId="1925262406">
    <w:abstractNumId w:val="48"/>
  </w:num>
  <w:num w:numId="44" w16cid:durableId="377897869">
    <w:abstractNumId w:val="26"/>
  </w:num>
  <w:num w:numId="45" w16cid:durableId="1049769749">
    <w:abstractNumId w:val="20"/>
  </w:num>
  <w:num w:numId="46" w16cid:durableId="999769647">
    <w:abstractNumId w:val="32"/>
  </w:num>
  <w:num w:numId="47" w16cid:durableId="1651321040">
    <w:abstractNumId w:val="30"/>
  </w:num>
  <w:num w:numId="48" w16cid:durableId="1463579005">
    <w:abstractNumId w:val="15"/>
  </w:num>
  <w:num w:numId="49" w16cid:durableId="572592791">
    <w:abstractNumId w:val="38"/>
  </w:num>
  <w:num w:numId="50" w16cid:durableId="662054605">
    <w:abstractNumId w:val="19"/>
  </w:num>
  <w:num w:numId="51" w16cid:durableId="1519538836">
    <w:abstractNumId w:val="4"/>
  </w:num>
  <w:num w:numId="52" w16cid:durableId="866529615">
    <w:abstractNumId w:val="6"/>
  </w:num>
  <w:num w:numId="53" w16cid:durableId="1913461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6286442">
    <w:abstractNumId w:val="23"/>
  </w:num>
  <w:num w:numId="55" w16cid:durableId="1791314568">
    <w:abstractNumId w:val="21"/>
    <w:lvlOverride w:ilvl="0">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of the Provost">
    <w15:presenceInfo w15:providerId="None" w15:userId="Office of the Provost"/>
  </w15:person>
  <w15:person w15:author="Denita Strietelmeier">
    <w15:presenceInfo w15:providerId="AD" w15:userId="S::denitas@uoregon.edu::effc3365-fad3-44fc-b32b-c66549128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64"/>
    <w:rsid w:val="00000CFA"/>
    <w:rsid w:val="0000101E"/>
    <w:rsid w:val="000049B1"/>
    <w:rsid w:val="0000550B"/>
    <w:rsid w:val="00010070"/>
    <w:rsid w:val="00022615"/>
    <w:rsid w:val="000265A5"/>
    <w:rsid w:val="00027A2E"/>
    <w:rsid w:val="000301EB"/>
    <w:rsid w:val="0003118B"/>
    <w:rsid w:val="00032AB7"/>
    <w:rsid w:val="00033175"/>
    <w:rsid w:val="00045011"/>
    <w:rsid w:val="000452EF"/>
    <w:rsid w:val="00051CB2"/>
    <w:rsid w:val="00071F62"/>
    <w:rsid w:val="00074ADB"/>
    <w:rsid w:val="00080DC9"/>
    <w:rsid w:val="0008319D"/>
    <w:rsid w:val="00086CBC"/>
    <w:rsid w:val="00087C61"/>
    <w:rsid w:val="00090E7C"/>
    <w:rsid w:val="00091528"/>
    <w:rsid w:val="00092B24"/>
    <w:rsid w:val="000A0D91"/>
    <w:rsid w:val="000A102F"/>
    <w:rsid w:val="000A4EC4"/>
    <w:rsid w:val="000A5BD7"/>
    <w:rsid w:val="000B5613"/>
    <w:rsid w:val="000B6F5C"/>
    <w:rsid w:val="000C3082"/>
    <w:rsid w:val="000D111D"/>
    <w:rsid w:val="000D1792"/>
    <w:rsid w:val="000D26AA"/>
    <w:rsid w:val="000D3492"/>
    <w:rsid w:val="000D4D0C"/>
    <w:rsid w:val="000D6026"/>
    <w:rsid w:val="000D6C29"/>
    <w:rsid w:val="000E620B"/>
    <w:rsid w:val="000E672C"/>
    <w:rsid w:val="000E726E"/>
    <w:rsid w:val="000E7B0B"/>
    <w:rsid w:val="000E7DE5"/>
    <w:rsid w:val="00101319"/>
    <w:rsid w:val="001014AF"/>
    <w:rsid w:val="00105EAF"/>
    <w:rsid w:val="00111EC1"/>
    <w:rsid w:val="00116AAB"/>
    <w:rsid w:val="00134CD3"/>
    <w:rsid w:val="00141507"/>
    <w:rsid w:val="00141EC8"/>
    <w:rsid w:val="00143698"/>
    <w:rsid w:val="00145BA7"/>
    <w:rsid w:val="00153DFB"/>
    <w:rsid w:val="00167636"/>
    <w:rsid w:val="00167667"/>
    <w:rsid w:val="00167902"/>
    <w:rsid w:val="0017376C"/>
    <w:rsid w:val="00173DD9"/>
    <w:rsid w:val="00174C41"/>
    <w:rsid w:val="00181A4D"/>
    <w:rsid w:val="001839A8"/>
    <w:rsid w:val="00187F8C"/>
    <w:rsid w:val="0019119B"/>
    <w:rsid w:val="00196C0D"/>
    <w:rsid w:val="00197659"/>
    <w:rsid w:val="0019B184"/>
    <w:rsid w:val="001A0054"/>
    <w:rsid w:val="001A1139"/>
    <w:rsid w:val="001A364B"/>
    <w:rsid w:val="001B1083"/>
    <w:rsid w:val="001B1BF4"/>
    <w:rsid w:val="001B38DE"/>
    <w:rsid w:val="001B3DB8"/>
    <w:rsid w:val="001B5858"/>
    <w:rsid w:val="001B5A4A"/>
    <w:rsid w:val="001C7823"/>
    <w:rsid w:val="001E52A4"/>
    <w:rsid w:val="001E7195"/>
    <w:rsid w:val="00200CEF"/>
    <w:rsid w:val="00203D7B"/>
    <w:rsid w:val="0020487F"/>
    <w:rsid w:val="00205823"/>
    <w:rsid w:val="002058C8"/>
    <w:rsid w:val="002104BF"/>
    <w:rsid w:val="002223A2"/>
    <w:rsid w:val="00222818"/>
    <w:rsid w:val="002243FE"/>
    <w:rsid w:val="00230565"/>
    <w:rsid w:val="0023377D"/>
    <w:rsid w:val="00233D79"/>
    <w:rsid w:val="002354F9"/>
    <w:rsid w:val="00236AC7"/>
    <w:rsid w:val="00246B13"/>
    <w:rsid w:val="00251BED"/>
    <w:rsid w:val="002528B6"/>
    <w:rsid w:val="00256D29"/>
    <w:rsid w:val="002604E0"/>
    <w:rsid w:val="002607A1"/>
    <w:rsid w:val="00261108"/>
    <w:rsid w:val="00266A8A"/>
    <w:rsid w:val="00267D36"/>
    <w:rsid w:val="0027310C"/>
    <w:rsid w:val="00274206"/>
    <w:rsid w:val="0027456B"/>
    <w:rsid w:val="00275E28"/>
    <w:rsid w:val="00282D63"/>
    <w:rsid w:val="002A64B7"/>
    <w:rsid w:val="002B5B40"/>
    <w:rsid w:val="002B5E2D"/>
    <w:rsid w:val="002C014B"/>
    <w:rsid w:val="002C3F04"/>
    <w:rsid w:val="002D1227"/>
    <w:rsid w:val="002D1F05"/>
    <w:rsid w:val="002D4139"/>
    <w:rsid w:val="002D462B"/>
    <w:rsid w:val="002D470A"/>
    <w:rsid w:val="002D63EB"/>
    <w:rsid w:val="002E1591"/>
    <w:rsid w:val="002E4FD4"/>
    <w:rsid w:val="002F1087"/>
    <w:rsid w:val="002F2BD2"/>
    <w:rsid w:val="002F67BB"/>
    <w:rsid w:val="002F7112"/>
    <w:rsid w:val="002F7F70"/>
    <w:rsid w:val="002F7FC3"/>
    <w:rsid w:val="0031672B"/>
    <w:rsid w:val="00325573"/>
    <w:rsid w:val="003328A7"/>
    <w:rsid w:val="00344F81"/>
    <w:rsid w:val="00346336"/>
    <w:rsid w:val="00354CE4"/>
    <w:rsid w:val="00357594"/>
    <w:rsid w:val="00362AEA"/>
    <w:rsid w:val="003701CC"/>
    <w:rsid w:val="00373083"/>
    <w:rsid w:val="00374D55"/>
    <w:rsid w:val="0037727F"/>
    <w:rsid w:val="00390B4B"/>
    <w:rsid w:val="003A240A"/>
    <w:rsid w:val="003A4473"/>
    <w:rsid w:val="003B0232"/>
    <w:rsid w:val="003C0AE6"/>
    <w:rsid w:val="003C27A7"/>
    <w:rsid w:val="003C5D73"/>
    <w:rsid w:val="003C765E"/>
    <w:rsid w:val="003C7C3B"/>
    <w:rsid w:val="003D03CF"/>
    <w:rsid w:val="003D37FB"/>
    <w:rsid w:val="003D5306"/>
    <w:rsid w:val="003E20A9"/>
    <w:rsid w:val="003E4E01"/>
    <w:rsid w:val="003E4E10"/>
    <w:rsid w:val="003E6233"/>
    <w:rsid w:val="003F3394"/>
    <w:rsid w:val="003F51EA"/>
    <w:rsid w:val="00402936"/>
    <w:rsid w:val="004041FE"/>
    <w:rsid w:val="00412558"/>
    <w:rsid w:val="00422951"/>
    <w:rsid w:val="00423AA3"/>
    <w:rsid w:val="0042773D"/>
    <w:rsid w:val="00430A7D"/>
    <w:rsid w:val="00433C59"/>
    <w:rsid w:val="00434A85"/>
    <w:rsid w:val="00436C4C"/>
    <w:rsid w:val="00441F75"/>
    <w:rsid w:val="004453D9"/>
    <w:rsid w:val="004512B3"/>
    <w:rsid w:val="004531A8"/>
    <w:rsid w:val="00460A69"/>
    <w:rsid w:val="004618AA"/>
    <w:rsid w:val="00465C76"/>
    <w:rsid w:val="00470EFA"/>
    <w:rsid w:val="00475879"/>
    <w:rsid w:val="00476B15"/>
    <w:rsid w:val="00477C3B"/>
    <w:rsid w:val="00491B27"/>
    <w:rsid w:val="0049243B"/>
    <w:rsid w:val="00493EA3"/>
    <w:rsid w:val="00497FAE"/>
    <w:rsid w:val="004A2A48"/>
    <w:rsid w:val="004A3519"/>
    <w:rsid w:val="004A4D00"/>
    <w:rsid w:val="004A50D7"/>
    <w:rsid w:val="004A5BE3"/>
    <w:rsid w:val="004A6CB6"/>
    <w:rsid w:val="004B413C"/>
    <w:rsid w:val="004B51CA"/>
    <w:rsid w:val="004C7976"/>
    <w:rsid w:val="004D4F12"/>
    <w:rsid w:val="004E0F44"/>
    <w:rsid w:val="00502CEE"/>
    <w:rsid w:val="00507E45"/>
    <w:rsid w:val="00510F45"/>
    <w:rsid w:val="005251CE"/>
    <w:rsid w:val="005253AF"/>
    <w:rsid w:val="005262C6"/>
    <w:rsid w:val="00526AB1"/>
    <w:rsid w:val="00527DE3"/>
    <w:rsid w:val="00527E9C"/>
    <w:rsid w:val="00531143"/>
    <w:rsid w:val="00535061"/>
    <w:rsid w:val="00536F69"/>
    <w:rsid w:val="0054204A"/>
    <w:rsid w:val="0054387C"/>
    <w:rsid w:val="00546E36"/>
    <w:rsid w:val="0055603A"/>
    <w:rsid w:val="00557C81"/>
    <w:rsid w:val="00563C23"/>
    <w:rsid w:val="00564B5F"/>
    <w:rsid w:val="00574D4E"/>
    <w:rsid w:val="0058211B"/>
    <w:rsid w:val="00583F23"/>
    <w:rsid w:val="00584E65"/>
    <w:rsid w:val="00595136"/>
    <w:rsid w:val="005951E3"/>
    <w:rsid w:val="005967F5"/>
    <w:rsid w:val="005A2E4A"/>
    <w:rsid w:val="005A4BB5"/>
    <w:rsid w:val="005A77CB"/>
    <w:rsid w:val="005B14BD"/>
    <w:rsid w:val="005B281D"/>
    <w:rsid w:val="005B6D54"/>
    <w:rsid w:val="005C00CF"/>
    <w:rsid w:val="005C0674"/>
    <w:rsid w:val="005C38FD"/>
    <w:rsid w:val="005C47F1"/>
    <w:rsid w:val="005C53E9"/>
    <w:rsid w:val="005D32B9"/>
    <w:rsid w:val="005E14EA"/>
    <w:rsid w:val="005E15D4"/>
    <w:rsid w:val="005E2C8A"/>
    <w:rsid w:val="005E444A"/>
    <w:rsid w:val="005E62EB"/>
    <w:rsid w:val="005F1473"/>
    <w:rsid w:val="006110C9"/>
    <w:rsid w:val="00615586"/>
    <w:rsid w:val="00617941"/>
    <w:rsid w:val="00621206"/>
    <w:rsid w:val="00623BD3"/>
    <w:rsid w:val="006367DA"/>
    <w:rsid w:val="00636AF0"/>
    <w:rsid w:val="00641A12"/>
    <w:rsid w:val="00641E91"/>
    <w:rsid w:val="00644B23"/>
    <w:rsid w:val="00651E7E"/>
    <w:rsid w:val="00652756"/>
    <w:rsid w:val="00657B41"/>
    <w:rsid w:val="00660877"/>
    <w:rsid w:val="00664DAC"/>
    <w:rsid w:val="00665204"/>
    <w:rsid w:val="006654C5"/>
    <w:rsid w:val="00671D4B"/>
    <w:rsid w:val="006730F3"/>
    <w:rsid w:val="006755F9"/>
    <w:rsid w:val="00685FCE"/>
    <w:rsid w:val="00686B74"/>
    <w:rsid w:val="00694093"/>
    <w:rsid w:val="006A2726"/>
    <w:rsid w:val="006A38A7"/>
    <w:rsid w:val="006A449C"/>
    <w:rsid w:val="006B1DFB"/>
    <w:rsid w:val="006B3EC4"/>
    <w:rsid w:val="006B7434"/>
    <w:rsid w:val="006C21F9"/>
    <w:rsid w:val="006D0FDB"/>
    <w:rsid w:val="006D16A5"/>
    <w:rsid w:val="006D3B6F"/>
    <w:rsid w:val="006D6F3E"/>
    <w:rsid w:val="006E7390"/>
    <w:rsid w:val="006F5AA7"/>
    <w:rsid w:val="006F6DE2"/>
    <w:rsid w:val="00700230"/>
    <w:rsid w:val="0070362D"/>
    <w:rsid w:val="007063BF"/>
    <w:rsid w:val="00707231"/>
    <w:rsid w:val="00712040"/>
    <w:rsid w:val="00715974"/>
    <w:rsid w:val="00726538"/>
    <w:rsid w:val="0073586C"/>
    <w:rsid w:val="00743619"/>
    <w:rsid w:val="007516A2"/>
    <w:rsid w:val="00757921"/>
    <w:rsid w:val="00757DEE"/>
    <w:rsid w:val="0077178C"/>
    <w:rsid w:val="00771F52"/>
    <w:rsid w:val="00775089"/>
    <w:rsid w:val="00782D7D"/>
    <w:rsid w:val="007846D7"/>
    <w:rsid w:val="00792661"/>
    <w:rsid w:val="00793BEC"/>
    <w:rsid w:val="00794327"/>
    <w:rsid w:val="007A3090"/>
    <w:rsid w:val="007A35A5"/>
    <w:rsid w:val="007A3DEF"/>
    <w:rsid w:val="007A5031"/>
    <w:rsid w:val="007B7453"/>
    <w:rsid w:val="007C1987"/>
    <w:rsid w:val="007C63F8"/>
    <w:rsid w:val="007D6F19"/>
    <w:rsid w:val="007D755B"/>
    <w:rsid w:val="007E0073"/>
    <w:rsid w:val="007E38A9"/>
    <w:rsid w:val="007F13BA"/>
    <w:rsid w:val="007F5A92"/>
    <w:rsid w:val="0080376D"/>
    <w:rsid w:val="00804526"/>
    <w:rsid w:val="00804DDC"/>
    <w:rsid w:val="0080B8F3"/>
    <w:rsid w:val="00810D7C"/>
    <w:rsid w:val="00812043"/>
    <w:rsid w:val="0081291E"/>
    <w:rsid w:val="00816A4F"/>
    <w:rsid w:val="0081746C"/>
    <w:rsid w:val="0082047D"/>
    <w:rsid w:val="00824ED5"/>
    <w:rsid w:val="00825229"/>
    <w:rsid w:val="00826471"/>
    <w:rsid w:val="00827FA1"/>
    <w:rsid w:val="0083141F"/>
    <w:rsid w:val="008326DA"/>
    <w:rsid w:val="00837918"/>
    <w:rsid w:val="00840B65"/>
    <w:rsid w:val="008411F8"/>
    <w:rsid w:val="008424D8"/>
    <w:rsid w:val="00843D0C"/>
    <w:rsid w:val="0084679D"/>
    <w:rsid w:val="008507BE"/>
    <w:rsid w:val="00853F65"/>
    <w:rsid w:val="0085441B"/>
    <w:rsid w:val="008556B4"/>
    <w:rsid w:val="00857D35"/>
    <w:rsid w:val="00860BF4"/>
    <w:rsid w:val="00861ECE"/>
    <w:rsid w:val="00864689"/>
    <w:rsid w:val="008673D0"/>
    <w:rsid w:val="008678EB"/>
    <w:rsid w:val="00867A9B"/>
    <w:rsid w:val="00867C8E"/>
    <w:rsid w:val="0087716C"/>
    <w:rsid w:val="00884021"/>
    <w:rsid w:val="008853DD"/>
    <w:rsid w:val="00892CAF"/>
    <w:rsid w:val="008A0B26"/>
    <w:rsid w:val="008A41E9"/>
    <w:rsid w:val="008B6F78"/>
    <w:rsid w:val="008C14FA"/>
    <w:rsid w:val="008C6FEA"/>
    <w:rsid w:val="008D7053"/>
    <w:rsid w:val="008E051F"/>
    <w:rsid w:val="008F09D0"/>
    <w:rsid w:val="008F29B1"/>
    <w:rsid w:val="008F33FC"/>
    <w:rsid w:val="008F359A"/>
    <w:rsid w:val="008F52C8"/>
    <w:rsid w:val="008F5300"/>
    <w:rsid w:val="00902BB3"/>
    <w:rsid w:val="00907AE7"/>
    <w:rsid w:val="009125E7"/>
    <w:rsid w:val="009133AD"/>
    <w:rsid w:val="0092328B"/>
    <w:rsid w:val="00923A62"/>
    <w:rsid w:val="009309DF"/>
    <w:rsid w:val="00932649"/>
    <w:rsid w:val="009375E1"/>
    <w:rsid w:val="00941B3B"/>
    <w:rsid w:val="009441D6"/>
    <w:rsid w:val="00947C57"/>
    <w:rsid w:val="00953820"/>
    <w:rsid w:val="009562A6"/>
    <w:rsid w:val="00956350"/>
    <w:rsid w:val="00966000"/>
    <w:rsid w:val="009720A5"/>
    <w:rsid w:val="00977591"/>
    <w:rsid w:val="00986CD8"/>
    <w:rsid w:val="0098723B"/>
    <w:rsid w:val="009872DA"/>
    <w:rsid w:val="00993924"/>
    <w:rsid w:val="0099585D"/>
    <w:rsid w:val="00995A01"/>
    <w:rsid w:val="009A15B4"/>
    <w:rsid w:val="009B3842"/>
    <w:rsid w:val="009C2083"/>
    <w:rsid w:val="009C3AB1"/>
    <w:rsid w:val="009C45B6"/>
    <w:rsid w:val="009D4498"/>
    <w:rsid w:val="009E5968"/>
    <w:rsid w:val="009F3803"/>
    <w:rsid w:val="009F44AA"/>
    <w:rsid w:val="00A017B1"/>
    <w:rsid w:val="00A03FFD"/>
    <w:rsid w:val="00A04433"/>
    <w:rsid w:val="00A06740"/>
    <w:rsid w:val="00A115E3"/>
    <w:rsid w:val="00A176ED"/>
    <w:rsid w:val="00A2021A"/>
    <w:rsid w:val="00A216CB"/>
    <w:rsid w:val="00A23793"/>
    <w:rsid w:val="00A239A5"/>
    <w:rsid w:val="00A23F50"/>
    <w:rsid w:val="00A35DFB"/>
    <w:rsid w:val="00A36C34"/>
    <w:rsid w:val="00A45813"/>
    <w:rsid w:val="00A507BB"/>
    <w:rsid w:val="00A56658"/>
    <w:rsid w:val="00A61373"/>
    <w:rsid w:val="00A61EEA"/>
    <w:rsid w:val="00A630D6"/>
    <w:rsid w:val="00A64BDF"/>
    <w:rsid w:val="00A64C20"/>
    <w:rsid w:val="00A92001"/>
    <w:rsid w:val="00A935CA"/>
    <w:rsid w:val="00A93C2B"/>
    <w:rsid w:val="00A95835"/>
    <w:rsid w:val="00A96C3F"/>
    <w:rsid w:val="00AB292F"/>
    <w:rsid w:val="00AB5E08"/>
    <w:rsid w:val="00AC1817"/>
    <w:rsid w:val="00AC3F97"/>
    <w:rsid w:val="00AD09B6"/>
    <w:rsid w:val="00AD201C"/>
    <w:rsid w:val="00AD46F6"/>
    <w:rsid w:val="00AE1B72"/>
    <w:rsid w:val="00AE4960"/>
    <w:rsid w:val="00AF01E5"/>
    <w:rsid w:val="00AF446C"/>
    <w:rsid w:val="00B066D3"/>
    <w:rsid w:val="00B06752"/>
    <w:rsid w:val="00B10900"/>
    <w:rsid w:val="00B123D9"/>
    <w:rsid w:val="00B12441"/>
    <w:rsid w:val="00B1459A"/>
    <w:rsid w:val="00B168E7"/>
    <w:rsid w:val="00B19C59"/>
    <w:rsid w:val="00B22157"/>
    <w:rsid w:val="00B32737"/>
    <w:rsid w:val="00B3550F"/>
    <w:rsid w:val="00B425D2"/>
    <w:rsid w:val="00B43C87"/>
    <w:rsid w:val="00B456FC"/>
    <w:rsid w:val="00B514E2"/>
    <w:rsid w:val="00B524FB"/>
    <w:rsid w:val="00B53158"/>
    <w:rsid w:val="00B53A93"/>
    <w:rsid w:val="00B57473"/>
    <w:rsid w:val="00B601CF"/>
    <w:rsid w:val="00B6100A"/>
    <w:rsid w:val="00B63D49"/>
    <w:rsid w:val="00B66A5C"/>
    <w:rsid w:val="00B742F3"/>
    <w:rsid w:val="00B77623"/>
    <w:rsid w:val="00B805EC"/>
    <w:rsid w:val="00B87C53"/>
    <w:rsid w:val="00B930AD"/>
    <w:rsid w:val="00B9310B"/>
    <w:rsid w:val="00B97FF2"/>
    <w:rsid w:val="00BA2896"/>
    <w:rsid w:val="00BA558E"/>
    <w:rsid w:val="00BA5A4C"/>
    <w:rsid w:val="00BC1033"/>
    <w:rsid w:val="00BC2586"/>
    <w:rsid w:val="00BC4B65"/>
    <w:rsid w:val="00BC52CE"/>
    <w:rsid w:val="00BC5F15"/>
    <w:rsid w:val="00BC6E6E"/>
    <w:rsid w:val="00BD73AC"/>
    <w:rsid w:val="00BF2B74"/>
    <w:rsid w:val="00BF7DBE"/>
    <w:rsid w:val="00C04EEE"/>
    <w:rsid w:val="00C059D3"/>
    <w:rsid w:val="00C06646"/>
    <w:rsid w:val="00C102DF"/>
    <w:rsid w:val="00C10E5A"/>
    <w:rsid w:val="00C2008C"/>
    <w:rsid w:val="00C224DD"/>
    <w:rsid w:val="00C227EE"/>
    <w:rsid w:val="00C30A03"/>
    <w:rsid w:val="00C3416C"/>
    <w:rsid w:val="00C36E7C"/>
    <w:rsid w:val="00C36FB5"/>
    <w:rsid w:val="00C37764"/>
    <w:rsid w:val="00C37790"/>
    <w:rsid w:val="00C44E23"/>
    <w:rsid w:val="00C4685D"/>
    <w:rsid w:val="00C53AD7"/>
    <w:rsid w:val="00C54315"/>
    <w:rsid w:val="00C549F6"/>
    <w:rsid w:val="00C60581"/>
    <w:rsid w:val="00C7544B"/>
    <w:rsid w:val="00C812D6"/>
    <w:rsid w:val="00C83239"/>
    <w:rsid w:val="00C83325"/>
    <w:rsid w:val="00C83B84"/>
    <w:rsid w:val="00C83EB0"/>
    <w:rsid w:val="00C8580D"/>
    <w:rsid w:val="00C94A43"/>
    <w:rsid w:val="00C9610B"/>
    <w:rsid w:val="00CA31C9"/>
    <w:rsid w:val="00CA7E4C"/>
    <w:rsid w:val="00CB53DE"/>
    <w:rsid w:val="00CB60EF"/>
    <w:rsid w:val="00CB655C"/>
    <w:rsid w:val="00CC0427"/>
    <w:rsid w:val="00CC34EA"/>
    <w:rsid w:val="00CD11B0"/>
    <w:rsid w:val="00CD2468"/>
    <w:rsid w:val="00CD3D20"/>
    <w:rsid w:val="00CE6903"/>
    <w:rsid w:val="00CE7EF9"/>
    <w:rsid w:val="00CF006D"/>
    <w:rsid w:val="00CF6300"/>
    <w:rsid w:val="00D04397"/>
    <w:rsid w:val="00D04DC8"/>
    <w:rsid w:val="00D1029B"/>
    <w:rsid w:val="00D10382"/>
    <w:rsid w:val="00D14C91"/>
    <w:rsid w:val="00D2433C"/>
    <w:rsid w:val="00D24A3C"/>
    <w:rsid w:val="00D337A1"/>
    <w:rsid w:val="00D377E4"/>
    <w:rsid w:val="00D40731"/>
    <w:rsid w:val="00D55C88"/>
    <w:rsid w:val="00D562BC"/>
    <w:rsid w:val="00D63FB8"/>
    <w:rsid w:val="00D71A9B"/>
    <w:rsid w:val="00D73036"/>
    <w:rsid w:val="00D774DD"/>
    <w:rsid w:val="00D81251"/>
    <w:rsid w:val="00D813CE"/>
    <w:rsid w:val="00D8487D"/>
    <w:rsid w:val="00D9113E"/>
    <w:rsid w:val="00D93790"/>
    <w:rsid w:val="00DB3DB8"/>
    <w:rsid w:val="00DB6940"/>
    <w:rsid w:val="00DC1C6D"/>
    <w:rsid w:val="00DC48C0"/>
    <w:rsid w:val="00DC4946"/>
    <w:rsid w:val="00DC6574"/>
    <w:rsid w:val="00DD2B7A"/>
    <w:rsid w:val="00DD3425"/>
    <w:rsid w:val="00DD3CDD"/>
    <w:rsid w:val="00DD642E"/>
    <w:rsid w:val="00DD6B88"/>
    <w:rsid w:val="00DD6FFF"/>
    <w:rsid w:val="00DE7DDB"/>
    <w:rsid w:val="00E00AEB"/>
    <w:rsid w:val="00E03ED5"/>
    <w:rsid w:val="00E1082C"/>
    <w:rsid w:val="00E11717"/>
    <w:rsid w:val="00E144D4"/>
    <w:rsid w:val="00E23284"/>
    <w:rsid w:val="00E24CDE"/>
    <w:rsid w:val="00E40977"/>
    <w:rsid w:val="00E43DB7"/>
    <w:rsid w:val="00E51D06"/>
    <w:rsid w:val="00E62505"/>
    <w:rsid w:val="00E62EAE"/>
    <w:rsid w:val="00E641A7"/>
    <w:rsid w:val="00E668A4"/>
    <w:rsid w:val="00E725D7"/>
    <w:rsid w:val="00E8749B"/>
    <w:rsid w:val="00E91B50"/>
    <w:rsid w:val="00E95DD3"/>
    <w:rsid w:val="00EA47D8"/>
    <w:rsid w:val="00EB5BAA"/>
    <w:rsid w:val="00EC704B"/>
    <w:rsid w:val="00ED309E"/>
    <w:rsid w:val="00ED3273"/>
    <w:rsid w:val="00EF736B"/>
    <w:rsid w:val="00F01CE6"/>
    <w:rsid w:val="00F01F49"/>
    <w:rsid w:val="00F03017"/>
    <w:rsid w:val="00F03E9E"/>
    <w:rsid w:val="00F10483"/>
    <w:rsid w:val="00F1132A"/>
    <w:rsid w:val="00F117EC"/>
    <w:rsid w:val="00F11CE4"/>
    <w:rsid w:val="00F17E53"/>
    <w:rsid w:val="00F21DE2"/>
    <w:rsid w:val="00F32B80"/>
    <w:rsid w:val="00F33081"/>
    <w:rsid w:val="00F404FC"/>
    <w:rsid w:val="00F4774E"/>
    <w:rsid w:val="00F47E17"/>
    <w:rsid w:val="00F47FE5"/>
    <w:rsid w:val="00F548E1"/>
    <w:rsid w:val="00F60BF6"/>
    <w:rsid w:val="00F67791"/>
    <w:rsid w:val="00F7440F"/>
    <w:rsid w:val="00F81717"/>
    <w:rsid w:val="00F8213F"/>
    <w:rsid w:val="00F825B6"/>
    <w:rsid w:val="00F84A89"/>
    <w:rsid w:val="00F939CF"/>
    <w:rsid w:val="00F9478F"/>
    <w:rsid w:val="00F94CD2"/>
    <w:rsid w:val="00FA423D"/>
    <w:rsid w:val="00FA68CF"/>
    <w:rsid w:val="00FB326A"/>
    <w:rsid w:val="00FB7B5B"/>
    <w:rsid w:val="00FD22D3"/>
    <w:rsid w:val="00FD76A7"/>
    <w:rsid w:val="00FE0890"/>
    <w:rsid w:val="00FE20DA"/>
    <w:rsid w:val="00FE34DB"/>
    <w:rsid w:val="00FE3E11"/>
    <w:rsid w:val="00FE4731"/>
    <w:rsid w:val="00FE776D"/>
    <w:rsid w:val="00FF42E9"/>
    <w:rsid w:val="00FF46D9"/>
    <w:rsid w:val="01747BE6"/>
    <w:rsid w:val="01885206"/>
    <w:rsid w:val="01A368E7"/>
    <w:rsid w:val="0208DB6D"/>
    <w:rsid w:val="020B2C52"/>
    <w:rsid w:val="02676473"/>
    <w:rsid w:val="02BFD1E4"/>
    <w:rsid w:val="034CBF33"/>
    <w:rsid w:val="0353EC4D"/>
    <w:rsid w:val="04FDC406"/>
    <w:rsid w:val="05850D7C"/>
    <w:rsid w:val="06953B38"/>
    <w:rsid w:val="0728CB63"/>
    <w:rsid w:val="0768DDDB"/>
    <w:rsid w:val="07CA950D"/>
    <w:rsid w:val="08797419"/>
    <w:rsid w:val="08D7805D"/>
    <w:rsid w:val="09A33B88"/>
    <w:rsid w:val="0B9CE87D"/>
    <w:rsid w:val="0C212544"/>
    <w:rsid w:val="0C447277"/>
    <w:rsid w:val="0C46904A"/>
    <w:rsid w:val="0C8A5849"/>
    <w:rsid w:val="0CA68F3B"/>
    <w:rsid w:val="0CD39768"/>
    <w:rsid w:val="0CD7DECE"/>
    <w:rsid w:val="0D2AD73F"/>
    <w:rsid w:val="0D5A4DE0"/>
    <w:rsid w:val="0E265B7B"/>
    <w:rsid w:val="0F339784"/>
    <w:rsid w:val="0F656E32"/>
    <w:rsid w:val="0FA4E998"/>
    <w:rsid w:val="1049B16C"/>
    <w:rsid w:val="10C722AB"/>
    <w:rsid w:val="11100511"/>
    <w:rsid w:val="11FBC85F"/>
    <w:rsid w:val="12A3C16F"/>
    <w:rsid w:val="130DB583"/>
    <w:rsid w:val="132723D3"/>
    <w:rsid w:val="139591DE"/>
    <w:rsid w:val="139F0224"/>
    <w:rsid w:val="141A3304"/>
    <w:rsid w:val="147AEA2A"/>
    <w:rsid w:val="14C630EE"/>
    <w:rsid w:val="1531623F"/>
    <w:rsid w:val="1539ED9C"/>
    <w:rsid w:val="1542AD79"/>
    <w:rsid w:val="154CD060"/>
    <w:rsid w:val="16B7C007"/>
    <w:rsid w:val="16CBD562"/>
    <w:rsid w:val="16DE7DDA"/>
    <w:rsid w:val="177D2D94"/>
    <w:rsid w:val="17CB07FA"/>
    <w:rsid w:val="1801CAC1"/>
    <w:rsid w:val="1810B1BF"/>
    <w:rsid w:val="18EDA427"/>
    <w:rsid w:val="1918FDF5"/>
    <w:rsid w:val="19A471F9"/>
    <w:rsid w:val="1A79D25B"/>
    <w:rsid w:val="1AE89A8B"/>
    <w:rsid w:val="1AF541DB"/>
    <w:rsid w:val="1B3909DA"/>
    <w:rsid w:val="1B4CBDCF"/>
    <w:rsid w:val="1C6E055F"/>
    <w:rsid w:val="1CCD98AF"/>
    <w:rsid w:val="1D1E566B"/>
    <w:rsid w:val="1DFF5E49"/>
    <w:rsid w:val="1EEC4768"/>
    <w:rsid w:val="1FA2E351"/>
    <w:rsid w:val="1FE77599"/>
    <w:rsid w:val="1FFE6754"/>
    <w:rsid w:val="204A8510"/>
    <w:rsid w:val="205F8BA3"/>
    <w:rsid w:val="20B15FC4"/>
    <w:rsid w:val="216626CA"/>
    <w:rsid w:val="218345FA"/>
    <w:rsid w:val="21D2763C"/>
    <w:rsid w:val="22379611"/>
    <w:rsid w:val="227CA584"/>
    <w:rsid w:val="22DA8413"/>
    <w:rsid w:val="22FE2C31"/>
    <w:rsid w:val="24C209F9"/>
    <w:rsid w:val="25113528"/>
    <w:rsid w:val="264D0EE1"/>
    <w:rsid w:val="2693DD2C"/>
    <w:rsid w:val="26E96921"/>
    <w:rsid w:val="27217357"/>
    <w:rsid w:val="275CE322"/>
    <w:rsid w:val="278E2BE4"/>
    <w:rsid w:val="27907CE6"/>
    <w:rsid w:val="27D825DF"/>
    <w:rsid w:val="27F5789F"/>
    <w:rsid w:val="27FC1C50"/>
    <w:rsid w:val="28156477"/>
    <w:rsid w:val="2826583C"/>
    <w:rsid w:val="2927DE72"/>
    <w:rsid w:val="29537B92"/>
    <w:rsid w:val="2962CBC9"/>
    <w:rsid w:val="2A11BBA1"/>
    <w:rsid w:val="2A3522F8"/>
    <w:rsid w:val="2A4F11F6"/>
    <w:rsid w:val="2A8DF7D9"/>
    <w:rsid w:val="2AC3AED3"/>
    <w:rsid w:val="2BD2FA96"/>
    <w:rsid w:val="2CC26949"/>
    <w:rsid w:val="2D1D4DC4"/>
    <w:rsid w:val="2D1FB2A3"/>
    <w:rsid w:val="2D8626BA"/>
    <w:rsid w:val="2D8A9DBF"/>
    <w:rsid w:val="2DD84EC4"/>
    <w:rsid w:val="2E3191A2"/>
    <w:rsid w:val="2E539605"/>
    <w:rsid w:val="2EF052F3"/>
    <w:rsid w:val="2F128AD0"/>
    <w:rsid w:val="2F21EDBC"/>
    <w:rsid w:val="2FDD05C8"/>
    <w:rsid w:val="2FEC9951"/>
    <w:rsid w:val="30E258D1"/>
    <w:rsid w:val="3165DFC8"/>
    <w:rsid w:val="31D04C0F"/>
    <w:rsid w:val="325997DD"/>
    <w:rsid w:val="3406E88E"/>
    <w:rsid w:val="349D808A"/>
    <w:rsid w:val="34E4D513"/>
    <w:rsid w:val="3503B454"/>
    <w:rsid w:val="3507ECD1"/>
    <w:rsid w:val="353539CA"/>
    <w:rsid w:val="358CB6CB"/>
    <w:rsid w:val="3591389F"/>
    <w:rsid w:val="366B7DFB"/>
    <w:rsid w:val="36BF1B36"/>
    <w:rsid w:val="36E0301E"/>
    <w:rsid w:val="3702E335"/>
    <w:rsid w:val="3729282F"/>
    <w:rsid w:val="37402489"/>
    <w:rsid w:val="379653D9"/>
    <w:rsid w:val="379BC9C3"/>
    <w:rsid w:val="385F7898"/>
    <w:rsid w:val="3872A79B"/>
    <w:rsid w:val="39C9CF1C"/>
    <w:rsid w:val="3A06B7C2"/>
    <w:rsid w:val="3B659F7D"/>
    <w:rsid w:val="3C0D0802"/>
    <w:rsid w:val="3C25823B"/>
    <w:rsid w:val="3C9B71A5"/>
    <w:rsid w:val="3CBB88D0"/>
    <w:rsid w:val="3CC69DAE"/>
    <w:rsid w:val="3D45D5CE"/>
    <w:rsid w:val="3D4F71A2"/>
    <w:rsid w:val="3DA6BAED"/>
    <w:rsid w:val="3E439BE0"/>
    <w:rsid w:val="3E65EDFA"/>
    <w:rsid w:val="3ECACAE7"/>
    <w:rsid w:val="3F309C20"/>
    <w:rsid w:val="3FB6386B"/>
    <w:rsid w:val="3FF32992"/>
    <w:rsid w:val="409F0E75"/>
    <w:rsid w:val="40B63610"/>
    <w:rsid w:val="41370D58"/>
    <w:rsid w:val="41942FD0"/>
    <w:rsid w:val="41E72410"/>
    <w:rsid w:val="428E5381"/>
    <w:rsid w:val="42C74E33"/>
    <w:rsid w:val="42E17D47"/>
    <w:rsid w:val="42F8EA89"/>
    <w:rsid w:val="43609247"/>
    <w:rsid w:val="43E9B5F6"/>
    <w:rsid w:val="44420039"/>
    <w:rsid w:val="44E1F4DB"/>
    <w:rsid w:val="451D92C3"/>
    <w:rsid w:val="45FEEEF5"/>
    <w:rsid w:val="46D325FB"/>
    <w:rsid w:val="46DA913D"/>
    <w:rsid w:val="46DFD90C"/>
    <w:rsid w:val="46F32222"/>
    <w:rsid w:val="46F71FDA"/>
    <w:rsid w:val="478A8C31"/>
    <w:rsid w:val="47E33865"/>
    <w:rsid w:val="481B2B1D"/>
    <w:rsid w:val="4976D500"/>
    <w:rsid w:val="4978D39C"/>
    <w:rsid w:val="49D42928"/>
    <w:rsid w:val="4A28DE3E"/>
    <w:rsid w:val="4A303340"/>
    <w:rsid w:val="4AA17CB2"/>
    <w:rsid w:val="4AC22CF3"/>
    <w:rsid w:val="4AD26018"/>
    <w:rsid w:val="4B086444"/>
    <w:rsid w:val="4B0F670A"/>
    <w:rsid w:val="4B62DA1F"/>
    <w:rsid w:val="4B776291"/>
    <w:rsid w:val="4B953FA5"/>
    <w:rsid w:val="4B9DC145"/>
    <w:rsid w:val="4BD82D3E"/>
    <w:rsid w:val="4C9F4EFD"/>
    <w:rsid w:val="4D1332F2"/>
    <w:rsid w:val="4D1F878C"/>
    <w:rsid w:val="4DFC6803"/>
    <w:rsid w:val="4E49CEC9"/>
    <w:rsid w:val="4E4DB108"/>
    <w:rsid w:val="4E86A476"/>
    <w:rsid w:val="4EAF2D8E"/>
    <w:rsid w:val="4F2C066A"/>
    <w:rsid w:val="4FADBEC1"/>
    <w:rsid w:val="502431F0"/>
    <w:rsid w:val="50CCE318"/>
    <w:rsid w:val="50D8D439"/>
    <w:rsid w:val="51C18278"/>
    <w:rsid w:val="523F9123"/>
    <w:rsid w:val="52FF59BD"/>
    <w:rsid w:val="5343EE0E"/>
    <w:rsid w:val="53A0518A"/>
    <w:rsid w:val="54A9A46E"/>
    <w:rsid w:val="550437EE"/>
    <w:rsid w:val="55648F6A"/>
    <w:rsid w:val="5615E21B"/>
    <w:rsid w:val="567B8ED0"/>
    <w:rsid w:val="568AC854"/>
    <w:rsid w:val="56A0084F"/>
    <w:rsid w:val="56B6F3A0"/>
    <w:rsid w:val="5787879E"/>
    <w:rsid w:val="579C07A8"/>
    <w:rsid w:val="57E71248"/>
    <w:rsid w:val="583BD8B0"/>
    <w:rsid w:val="58A92104"/>
    <w:rsid w:val="58DA7529"/>
    <w:rsid w:val="59B81E4E"/>
    <w:rsid w:val="59D7A911"/>
    <w:rsid w:val="59D89F1A"/>
    <w:rsid w:val="5AA3E78D"/>
    <w:rsid w:val="5AF4A4F0"/>
    <w:rsid w:val="5C4CE518"/>
    <w:rsid w:val="5C52516D"/>
    <w:rsid w:val="5C958227"/>
    <w:rsid w:val="5D0F49D3"/>
    <w:rsid w:val="5D9F206B"/>
    <w:rsid w:val="5E7265EE"/>
    <w:rsid w:val="5F79E76E"/>
    <w:rsid w:val="60B08754"/>
    <w:rsid w:val="610A7DF1"/>
    <w:rsid w:val="61311E7A"/>
    <w:rsid w:val="6197746A"/>
    <w:rsid w:val="61E2BAF6"/>
    <w:rsid w:val="61E52378"/>
    <w:rsid w:val="625497D4"/>
    <w:rsid w:val="630F3134"/>
    <w:rsid w:val="637076B3"/>
    <w:rsid w:val="64399A04"/>
    <w:rsid w:val="647E2B51"/>
    <w:rsid w:val="6480D73C"/>
    <w:rsid w:val="651A5BB8"/>
    <w:rsid w:val="653100A0"/>
    <w:rsid w:val="6540A53C"/>
    <w:rsid w:val="655F847D"/>
    <w:rsid w:val="65AA4607"/>
    <w:rsid w:val="66583A19"/>
    <w:rsid w:val="66A81775"/>
    <w:rsid w:val="66C675AF"/>
    <w:rsid w:val="67288531"/>
    <w:rsid w:val="673C6375"/>
    <w:rsid w:val="6748876D"/>
    <w:rsid w:val="67561A5C"/>
    <w:rsid w:val="67713AC6"/>
    <w:rsid w:val="68494EC5"/>
    <w:rsid w:val="687845FE"/>
    <w:rsid w:val="68C6690E"/>
    <w:rsid w:val="6949C0B4"/>
    <w:rsid w:val="6964810D"/>
    <w:rsid w:val="697CAC50"/>
    <w:rsid w:val="69E28651"/>
    <w:rsid w:val="69F91DFD"/>
    <w:rsid w:val="69FE4698"/>
    <w:rsid w:val="6A6EDBAC"/>
    <w:rsid w:val="6A852C49"/>
    <w:rsid w:val="6B1A260F"/>
    <w:rsid w:val="6BD6DD3B"/>
    <w:rsid w:val="6C4B4EAC"/>
    <w:rsid w:val="6CA334EF"/>
    <w:rsid w:val="6CE569C1"/>
    <w:rsid w:val="6D21DB1B"/>
    <w:rsid w:val="6D35B733"/>
    <w:rsid w:val="6DF18EE8"/>
    <w:rsid w:val="6EEF379F"/>
    <w:rsid w:val="6F0505FD"/>
    <w:rsid w:val="6F336992"/>
    <w:rsid w:val="6F407158"/>
    <w:rsid w:val="70543F05"/>
    <w:rsid w:val="70CAC0D3"/>
    <w:rsid w:val="70DB4C76"/>
    <w:rsid w:val="7176A612"/>
    <w:rsid w:val="71F8B767"/>
    <w:rsid w:val="72366AE3"/>
    <w:rsid w:val="73143565"/>
    <w:rsid w:val="742E8DE5"/>
    <w:rsid w:val="74A79504"/>
    <w:rsid w:val="756EE9B1"/>
    <w:rsid w:val="75E509BA"/>
    <w:rsid w:val="771D9EAB"/>
    <w:rsid w:val="787FC7A5"/>
    <w:rsid w:val="78FB120A"/>
    <w:rsid w:val="7973E655"/>
    <w:rsid w:val="79830E8B"/>
    <w:rsid w:val="79DAE08D"/>
    <w:rsid w:val="7A425AD4"/>
    <w:rsid w:val="7B0E2B68"/>
    <w:rsid w:val="7B5174F4"/>
    <w:rsid w:val="7C114B4B"/>
    <w:rsid w:val="7C7FCBEC"/>
    <w:rsid w:val="7D39462F"/>
    <w:rsid w:val="7DD7D34F"/>
    <w:rsid w:val="7E29F68A"/>
    <w:rsid w:val="7E2BF951"/>
    <w:rsid w:val="7E5BA8FB"/>
    <w:rsid w:val="7F01D5BB"/>
    <w:rsid w:val="7F65237C"/>
    <w:rsid w:val="7FDFA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C6D5"/>
  <w15:chartTrackingRefBased/>
  <w15:docId w15:val="{6EF3940F-4F38-CC49-BE0A-E30A522E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D470A"/>
    <w:pPr>
      <w:numPr>
        <w:numId w:val="3"/>
      </w:numPr>
      <w:shd w:val="clear" w:color="auto" w:fill="FFFFFF" w:themeFill="background1"/>
      <w:spacing w:after="240"/>
      <w:contextualSpacing w:val="0"/>
      <w:outlineLvl w:val="0"/>
    </w:pPr>
    <w:rPr>
      <w:rFonts w:eastAsiaTheme="minorEastAsia"/>
      <w:b/>
      <w:bCs/>
    </w:rPr>
  </w:style>
  <w:style w:type="paragraph" w:styleId="Heading2">
    <w:name w:val="heading 2"/>
    <w:basedOn w:val="ListParagraph"/>
    <w:next w:val="Normal"/>
    <w:link w:val="Heading2Char"/>
    <w:uiPriority w:val="9"/>
    <w:unhideWhenUsed/>
    <w:qFormat/>
    <w:rsid w:val="00B123D9"/>
    <w:pPr>
      <w:numPr>
        <w:ilvl w:val="1"/>
        <w:numId w:val="3"/>
      </w:numPr>
      <w:spacing w:after="240"/>
      <w:contextualSpacing w:val="0"/>
      <w:outlineLvl w:val="1"/>
    </w:pPr>
    <w:rPr>
      <w:rFonts w:eastAsiaTheme="minorEastAsia"/>
      <w:b/>
      <w:bCs/>
    </w:rPr>
  </w:style>
  <w:style w:type="paragraph" w:styleId="Heading3">
    <w:name w:val="heading 3"/>
    <w:basedOn w:val="ListParagraph"/>
    <w:next w:val="Normal"/>
    <w:link w:val="Heading3Char"/>
    <w:uiPriority w:val="9"/>
    <w:unhideWhenUsed/>
    <w:qFormat/>
    <w:rsid w:val="005A77CB"/>
    <w:pPr>
      <w:numPr>
        <w:ilvl w:val="2"/>
        <w:numId w:val="3"/>
      </w:numPr>
      <w:spacing w:after="240"/>
      <w:contextualSpacing w:val="0"/>
      <w:outlineLvl w:val="2"/>
    </w:pPr>
    <w:rPr>
      <w:rFonts w:eastAsiaTheme="minorEastAsia"/>
      <w:b/>
      <w:bCs/>
    </w:rPr>
  </w:style>
  <w:style w:type="paragraph" w:styleId="Heading4">
    <w:name w:val="heading 4"/>
    <w:basedOn w:val="ListParagraph"/>
    <w:next w:val="Normal"/>
    <w:link w:val="Heading4Char"/>
    <w:uiPriority w:val="9"/>
    <w:unhideWhenUsed/>
    <w:qFormat/>
    <w:rsid w:val="002104BF"/>
    <w:pPr>
      <w:numPr>
        <w:ilvl w:val="4"/>
        <w:numId w:val="3"/>
      </w:numPr>
      <w:spacing w:after="240"/>
      <w:ind w:left="1800"/>
      <w:outlineLvl w:val="3"/>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64"/>
    <w:pPr>
      <w:ind w:left="720"/>
      <w:contextualSpacing/>
    </w:pPr>
  </w:style>
  <w:style w:type="numbering" w:customStyle="1" w:styleId="CurrentList1">
    <w:name w:val="Current List1"/>
    <w:uiPriority w:val="99"/>
    <w:rsid w:val="00C37764"/>
    <w:pPr>
      <w:numPr>
        <w:numId w:val="4"/>
      </w:numPr>
    </w:pPr>
  </w:style>
  <w:style w:type="paragraph" w:styleId="Header">
    <w:name w:val="header"/>
    <w:basedOn w:val="Normal"/>
    <w:link w:val="HeaderChar"/>
    <w:uiPriority w:val="99"/>
    <w:unhideWhenUsed/>
    <w:rsid w:val="00C37764"/>
    <w:pPr>
      <w:tabs>
        <w:tab w:val="center" w:pos="4680"/>
        <w:tab w:val="right" w:pos="9360"/>
      </w:tabs>
    </w:pPr>
  </w:style>
  <w:style w:type="character" w:customStyle="1" w:styleId="HeaderChar">
    <w:name w:val="Header Char"/>
    <w:basedOn w:val="DefaultParagraphFont"/>
    <w:link w:val="Header"/>
    <w:uiPriority w:val="99"/>
    <w:rsid w:val="00C37764"/>
  </w:style>
  <w:style w:type="paragraph" w:styleId="Footer">
    <w:name w:val="footer"/>
    <w:basedOn w:val="Normal"/>
    <w:link w:val="FooterChar"/>
    <w:uiPriority w:val="99"/>
    <w:unhideWhenUsed/>
    <w:rsid w:val="00C37764"/>
    <w:pPr>
      <w:tabs>
        <w:tab w:val="center" w:pos="4680"/>
        <w:tab w:val="right" w:pos="9360"/>
      </w:tabs>
    </w:pPr>
  </w:style>
  <w:style w:type="character" w:customStyle="1" w:styleId="FooterChar">
    <w:name w:val="Footer Char"/>
    <w:basedOn w:val="DefaultParagraphFont"/>
    <w:link w:val="Footer"/>
    <w:uiPriority w:val="99"/>
    <w:rsid w:val="00C37764"/>
  </w:style>
  <w:style w:type="character" w:styleId="PageNumber">
    <w:name w:val="page number"/>
    <w:basedOn w:val="DefaultParagraphFont"/>
    <w:uiPriority w:val="99"/>
    <w:semiHidden/>
    <w:unhideWhenUsed/>
    <w:rsid w:val="00C37764"/>
  </w:style>
  <w:style w:type="numbering" w:customStyle="1" w:styleId="CurrentList2">
    <w:name w:val="Current List2"/>
    <w:uiPriority w:val="99"/>
    <w:rsid w:val="00C37764"/>
    <w:pPr>
      <w:numPr>
        <w:numId w:val="5"/>
      </w:numPr>
    </w:pPr>
  </w:style>
  <w:style w:type="numbering" w:customStyle="1" w:styleId="CurrentList3">
    <w:name w:val="Current List3"/>
    <w:uiPriority w:val="99"/>
    <w:rsid w:val="00C37764"/>
    <w:pPr>
      <w:numPr>
        <w:numId w:val="6"/>
      </w:numPr>
    </w:pPr>
  </w:style>
  <w:style w:type="numbering" w:customStyle="1" w:styleId="CurrentList4">
    <w:name w:val="Current List4"/>
    <w:uiPriority w:val="99"/>
    <w:rsid w:val="00C37764"/>
    <w:pPr>
      <w:numPr>
        <w:numId w:val="7"/>
      </w:numPr>
    </w:pPr>
  </w:style>
  <w:style w:type="numbering" w:customStyle="1" w:styleId="CurrentList5">
    <w:name w:val="Current List5"/>
    <w:uiPriority w:val="99"/>
    <w:rsid w:val="00C37764"/>
    <w:pPr>
      <w:numPr>
        <w:numId w:val="8"/>
      </w:numPr>
    </w:pPr>
  </w:style>
  <w:style w:type="numbering" w:customStyle="1" w:styleId="CurrentList6">
    <w:name w:val="Current List6"/>
    <w:uiPriority w:val="99"/>
    <w:rsid w:val="00C37764"/>
    <w:pPr>
      <w:numPr>
        <w:numId w:val="9"/>
      </w:numPr>
    </w:pPr>
  </w:style>
  <w:style w:type="numbering" w:customStyle="1" w:styleId="CurrentList7">
    <w:name w:val="Current List7"/>
    <w:uiPriority w:val="99"/>
    <w:rsid w:val="00C37764"/>
    <w:pPr>
      <w:numPr>
        <w:numId w:val="10"/>
      </w:numPr>
    </w:pPr>
  </w:style>
  <w:style w:type="numbering" w:customStyle="1" w:styleId="CurrentList8">
    <w:name w:val="Current List8"/>
    <w:uiPriority w:val="99"/>
    <w:rsid w:val="00C37764"/>
    <w:pPr>
      <w:numPr>
        <w:numId w:val="11"/>
      </w:numPr>
    </w:pPr>
  </w:style>
  <w:style w:type="numbering" w:customStyle="1" w:styleId="CurrentList9">
    <w:name w:val="Current List9"/>
    <w:uiPriority w:val="99"/>
    <w:rsid w:val="00C37764"/>
    <w:pPr>
      <w:numPr>
        <w:numId w:val="12"/>
      </w:numPr>
    </w:pPr>
  </w:style>
  <w:style w:type="numbering" w:customStyle="1" w:styleId="CurrentList10">
    <w:name w:val="Current List10"/>
    <w:uiPriority w:val="99"/>
    <w:rsid w:val="00C37764"/>
    <w:pPr>
      <w:numPr>
        <w:numId w:val="13"/>
      </w:numPr>
    </w:pPr>
  </w:style>
  <w:style w:type="paragraph" w:styleId="TOC1">
    <w:name w:val="toc 1"/>
    <w:basedOn w:val="Normal"/>
    <w:next w:val="Normal"/>
    <w:autoRedefine/>
    <w:uiPriority w:val="39"/>
    <w:semiHidden/>
    <w:unhideWhenUsed/>
    <w:rsid w:val="00C37764"/>
    <w:pPr>
      <w:spacing w:after="100"/>
    </w:pPr>
  </w:style>
  <w:style w:type="numbering" w:customStyle="1" w:styleId="CurrentList11">
    <w:name w:val="Current List11"/>
    <w:uiPriority w:val="99"/>
    <w:rsid w:val="00071F62"/>
    <w:pPr>
      <w:numPr>
        <w:numId w:val="14"/>
      </w:numPr>
    </w:pPr>
  </w:style>
  <w:style w:type="numbering" w:customStyle="1" w:styleId="CurrentList12">
    <w:name w:val="Current List12"/>
    <w:uiPriority w:val="99"/>
    <w:rsid w:val="00071F62"/>
    <w:pPr>
      <w:numPr>
        <w:numId w:val="15"/>
      </w:numPr>
    </w:pPr>
  </w:style>
  <w:style w:type="numbering" w:customStyle="1" w:styleId="CurrentList13">
    <w:name w:val="Current List13"/>
    <w:uiPriority w:val="99"/>
    <w:rsid w:val="00071F62"/>
    <w:pPr>
      <w:numPr>
        <w:numId w:val="16"/>
      </w:numPr>
    </w:pPr>
  </w:style>
  <w:style w:type="numbering" w:customStyle="1" w:styleId="CurrentList14">
    <w:name w:val="Current List14"/>
    <w:uiPriority w:val="99"/>
    <w:rsid w:val="00071F62"/>
    <w:pPr>
      <w:numPr>
        <w:numId w:val="17"/>
      </w:numPr>
    </w:pPr>
  </w:style>
  <w:style w:type="numbering" w:customStyle="1" w:styleId="CurrentList15">
    <w:name w:val="Current List15"/>
    <w:uiPriority w:val="99"/>
    <w:rsid w:val="00071F62"/>
    <w:pPr>
      <w:numPr>
        <w:numId w:val="18"/>
      </w:numPr>
    </w:pPr>
  </w:style>
  <w:style w:type="numbering" w:customStyle="1" w:styleId="CurrentList16">
    <w:name w:val="Current List16"/>
    <w:uiPriority w:val="99"/>
    <w:rsid w:val="00071F62"/>
    <w:pPr>
      <w:numPr>
        <w:numId w:val="19"/>
      </w:numPr>
    </w:pPr>
  </w:style>
  <w:style w:type="table" w:styleId="TableGrid">
    <w:name w:val="Table Grid"/>
    <w:basedOn w:val="TableNormal"/>
    <w:uiPriority w:val="39"/>
    <w:rsid w:val="00FA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
    <w:name w:val="Current List17"/>
    <w:uiPriority w:val="99"/>
    <w:rsid w:val="000049B1"/>
    <w:pPr>
      <w:numPr>
        <w:numId w:val="20"/>
      </w:numPr>
    </w:pPr>
  </w:style>
  <w:style w:type="numbering" w:customStyle="1" w:styleId="CurrentList18">
    <w:name w:val="Current List18"/>
    <w:uiPriority w:val="99"/>
    <w:rsid w:val="000049B1"/>
    <w:pPr>
      <w:numPr>
        <w:numId w:val="21"/>
      </w:numPr>
    </w:pPr>
  </w:style>
  <w:style w:type="numbering" w:customStyle="1" w:styleId="CurrentList19">
    <w:name w:val="Current List19"/>
    <w:uiPriority w:val="99"/>
    <w:rsid w:val="0054387C"/>
    <w:pPr>
      <w:numPr>
        <w:numId w:val="22"/>
      </w:numPr>
    </w:pPr>
  </w:style>
  <w:style w:type="numbering" w:customStyle="1" w:styleId="CurrentList20">
    <w:name w:val="Current List20"/>
    <w:uiPriority w:val="99"/>
    <w:rsid w:val="0054387C"/>
    <w:pPr>
      <w:numPr>
        <w:numId w:val="23"/>
      </w:numPr>
    </w:pPr>
  </w:style>
  <w:style w:type="numbering" w:customStyle="1" w:styleId="CurrentList21">
    <w:name w:val="Current List21"/>
    <w:uiPriority w:val="99"/>
    <w:rsid w:val="00090E7C"/>
    <w:pPr>
      <w:numPr>
        <w:numId w:val="24"/>
      </w:numPr>
    </w:pPr>
  </w:style>
  <w:style w:type="numbering" w:customStyle="1" w:styleId="CurrentList22">
    <w:name w:val="Current List22"/>
    <w:uiPriority w:val="99"/>
    <w:rsid w:val="00090E7C"/>
    <w:pPr>
      <w:numPr>
        <w:numId w:val="25"/>
      </w:numPr>
    </w:pPr>
  </w:style>
  <w:style w:type="numbering" w:customStyle="1" w:styleId="CurrentList23">
    <w:name w:val="Current List23"/>
    <w:uiPriority w:val="99"/>
    <w:rsid w:val="00090E7C"/>
    <w:pPr>
      <w:numPr>
        <w:numId w:val="26"/>
      </w:numPr>
    </w:pPr>
  </w:style>
  <w:style w:type="paragraph" w:customStyle="1" w:styleId="text-align-left">
    <w:name w:val="text-align-left"/>
    <w:basedOn w:val="Normal"/>
    <w:rsid w:val="00090E7C"/>
    <w:pPr>
      <w:spacing w:before="100" w:beforeAutospacing="1" w:after="100" w:afterAutospacing="1"/>
    </w:pPr>
    <w:rPr>
      <w:rFonts w:ascii="Times New Roman" w:eastAsia="Times New Roman" w:hAnsi="Times New Roman" w:cs="Times New Roman"/>
    </w:rPr>
  </w:style>
  <w:style w:type="numbering" w:customStyle="1" w:styleId="CurrentList24">
    <w:name w:val="Current List24"/>
    <w:uiPriority w:val="99"/>
    <w:rsid w:val="001C7823"/>
    <w:pPr>
      <w:numPr>
        <w:numId w:val="27"/>
      </w:numPr>
    </w:pPr>
  </w:style>
  <w:style w:type="paragraph" w:styleId="BodyText">
    <w:name w:val="Body Text"/>
    <w:basedOn w:val="Normal"/>
    <w:link w:val="BodyTextChar"/>
    <w:uiPriority w:val="99"/>
    <w:semiHidden/>
    <w:unhideWhenUsed/>
    <w:rsid w:val="001C7823"/>
    <w:pPr>
      <w:spacing w:after="120"/>
    </w:pPr>
  </w:style>
  <w:style w:type="character" w:customStyle="1" w:styleId="BodyTextChar">
    <w:name w:val="Body Text Char"/>
    <w:basedOn w:val="DefaultParagraphFont"/>
    <w:link w:val="BodyText"/>
    <w:uiPriority w:val="99"/>
    <w:semiHidden/>
    <w:rsid w:val="001C7823"/>
  </w:style>
  <w:style w:type="numbering" w:customStyle="1" w:styleId="CurrentList25">
    <w:name w:val="Current List25"/>
    <w:uiPriority w:val="99"/>
    <w:rsid w:val="003C7C3B"/>
    <w:pPr>
      <w:numPr>
        <w:numId w:val="28"/>
      </w:numPr>
    </w:pPr>
  </w:style>
  <w:style w:type="numbering" w:customStyle="1" w:styleId="CurrentList26">
    <w:name w:val="Current List26"/>
    <w:uiPriority w:val="99"/>
    <w:rsid w:val="003C7C3B"/>
    <w:pPr>
      <w:numPr>
        <w:numId w:val="29"/>
      </w:numPr>
    </w:pPr>
  </w:style>
  <w:style w:type="numbering" w:customStyle="1" w:styleId="CurrentList27">
    <w:name w:val="Current List27"/>
    <w:uiPriority w:val="99"/>
    <w:rsid w:val="003C7C3B"/>
    <w:pPr>
      <w:numPr>
        <w:numId w:val="30"/>
      </w:numPr>
    </w:pPr>
  </w:style>
  <w:style w:type="numbering" w:customStyle="1" w:styleId="CurrentList28">
    <w:name w:val="Current List28"/>
    <w:uiPriority w:val="99"/>
    <w:rsid w:val="003C7C3B"/>
    <w:pPr>
      <w:numPr>
        <w:numId w:val="31"/>
      </w:numPr>
    </w:pPr>
  </w:style>
  <w:style w:type="numbering" w:customStyle="1" w:styleId="CurrentList29">
    <w:name w:val="Current List29"/>
    <w:uiPriority w:val="99"/>
    <w:rsid w:val="003C7C3B"/>
    <w:pPr>
      <w:numPr>
        <w:numId w:val="32"/>
      </w:numPr>
    </w:pPr>
  </w:style>
  <w:style w:type="numbering" w:customStyle="1" w:styleId="CurrentList30">
    <w:name w:val="Current List30"/>
    <w:uiPriority w:val="99"/>
    <w:rsid w:val="00C8580D"/>
    <w:pPr>
      <w:numPr>
        <w:numId w:val="33"/>
      </w:numPr>
    </w:pPr>
  </w:style>
  <w:style w:type="numbering" w:customStyle="1" w:styleId="CurrentList31">
    <w:name w:val="Current List31"/>
    <w:uiPriority w:val="99"/>
    <w:rsid w:val="00C8580D"/>
    <w:pPr>
      <w:numPr>
        <w:numId w:val="34"/>
      </w:numPr>
    </w:pPr>
  </w:style>
  <w:style w:type="numbering" w:customStyle="1" w:styleId="CurrentList32">
    <w:name w:val="Current List32"/>
    <w:uiPriority w:val="99"/>
    <w:rsid w:val="00C8580D"/>
    <w:pPr>
      <w:numPr>
        <w:numId w:val="35"/>
      </w:numPr>
    </w:pPr>
  </w:style>
  <w:style w:type="numbering" w:customStyle="1" w:styleId="CurrentList33">
    <w:name w:val="Current List33"/>
    <w:uiPriority w:val="99"/>
    <w:rsid w:val="00C8580D"/>
    <w:pPr>
      <w:numPr>
        <w:numId w:val="36"/>
      </w:numPr>
    </w:pPr>
  </w:style>
  <w:style w:type="numbering" w:customStyle="1" w:styleId="CurrentList34">
    <w:name w:val="Current List34"/>
    <w:uiPriority w:val="99"/>
    <w:rsid w:val="00884021"/>
    <w:pPr>
      <w:numPr>
        <w:numId w:val="37"/>
      </w:numPr>
    </w:pPr>
  </w:style>
  <w:style w:type="numbering" w:customStyle="1" w:styleId="CurrentList35">
    <w:name w:val="Current List35"/>
    <w:uiPriority w:val="99"/>
    <w:rsid w:val="00884021"/>
    <w:pPr>
      <w:numPr>
        <w:numId w:val="38"/>
      </w:numPr>
    </w:pPr>
  </w:style>
  <w:style w:type="numbering" w:customStyle="1" w:styleId="CurrentList36">
    <w:name w:val="Current List36"/>
    <w:uiPriority w:val="99"/>
    <w:rsid w:val="00F01CE6"/>
    <w:pPr>
      <w:numPr>
        <w:numId w:val="39"/>
      </w:numPr>
    </w:pPr>
  </w:style>
  <w:style w:type="numbering" w:customStyle="1" w:styleId="CurrentList37">
    <w:name w:val="Current List37"/>
    <w:uiPriority w:val="99"/>
    <w:rsid w:val="00F01CE6"/>
    <w:pPr>
      <w:numPr>
        <w:numId w:val="40"/>
      </w:numPr>
    </w:pPr>
  </w:style>
  <w:style w:type="numbering" w:customStyle="1" w:styleId="CurrentList38">
    <w:name w:val="Current List38"/>
    <w:uiPriority w:val="99"/>
    <w:rsid w:val="00F01CE6"/>
    <w:pPr>
      <w:numPr>
        <w:numId w:val="41"/>
      </w:numPr>
    </w:pPr>
  </w:style>
  <w:style w:type="character" w:styleId="CommentReference">
    <w:name w:val="annotation reference"/>
    <w:basedOn w:val="DefaultParagraphFont"/>
    <w:uiPriority w:val="99"/>
    <w:semiHidden/>
    <w:unhideWhenUsed/>
    <w:rsid w:val="00C7544B"/>
    <w:rPr>
      <w:sz w:val="16"/>
      <w:szCs w:val="16"/>
    </w:rPr>
  </w:style>
  <w:style w:type="paragraph" w:styleId="CommentText">
    <w:name w:val="annotation text"/>
    <w:basedOn w:val="Normal"/>
    <w:link w:val="CommentTextChar"/>
    <w:uiPriority w:val="99"/>
    <w:unhideWhenUsed/>
    <w:rsid w:val="00C7544B"/>
    <w:rPr>
      <w:sz w:val="20"/>
      <w:szCs w:val="20"/>
    </w:rPr>
  </w:style>
  <w:style w:type="character" w:customStyle="1" w:styleId="CommentTextChar">
    <w:name w:val="Comment Text Char"/>
    <w:basedOn w:val="DefaultParagraphFont"/>
    <w:link w:val="CommentText"/>
    <w:uiPriority w:val="99"/>
    <w:rsid w:val="00C7544B"/>
    <w:rPr>
      <w:sz w:val="20"/>
      <w:szCs w:val="20"/>
    </w:rPr>
  </w:style>
  <w:style w:type="paragraph" w:styleId="CommentSubject">
    <w:name w:val="annotation subject"/>
    <w:basedOn w:val="CommentText"/>
    <w:next w:val="CommentText"/>
    <w:link w:val="CommentSubjectChar"/>
    <w:uiPriority w:val="99"/>
    <w:semiHidden/>
    <w:unhideWhenUsed/>
    <w:rsid w:val="00C7544B"/>
    <w:rPr>
      <w:b/>
      <w:bCs/>
    </w:rPr>
  </w:style>
  <w:style w:type="character" w:customStyle="1" w:styleId="CommentSubjectChar">
    <w:name w:val="Comment Subject Char"/>
    <w:basedOn w:val="CommentTextChar"/>
    <w:link w:val="CommentSubject"/>
    <w:uiPriority w:val="99"/>
    <w:semiHidden/>
    <w:rsid w:val="00C7544B"/>
    <w:rPr>
      <w:b/>
      <w:bCs/>
      <w:sz w:val="20"/>
      <w:szCs w:val="20"/>
    </w:rPr>
  </w:style>
  <w:style w:type="character" w:styleId="Hyperlink">
    <w:name w:val="Hyperlink"/>
    <w:basedOn w:val="DefaultParagraphFont"/>
    <w:uiPriority w:val="99"/>
    <w:unhideWhenUsed/>
    <w:rsid w:val="00D8487D"/>
    <w:rPr>
      <w:color w:val="0563C1" w:themeColor="hyperlink"/>
      <w:u w:val="single"/>
    </w:rPr>
  </w:style>
  <w:style w:type="character" w:styleId="UnresolvedMention">
    <w:name w:val="Unresolved Mention"/>
    <w:basedOn w:val="DefaultParagraphFont"/>
    <w:uiPriority w:val="99"/>
    <w:semiHidden/>
    <w:unhideWhenUsed/>
    <w:rsid w:val="00D8487D"/>
    <w:rPr>
      <w:color w:val="605E5C"/>
      <w:shd w:val="clear" w:color="auto" w:fill="E1DFDD"/>
    </w:rPr>
  </w:style>
  <w:style w:type="paragraph" w:styleId="Revision">
    <w:name w:val="Revision"/>
    <w:hidden/>
    <w:uiPriority w:val="99"/>
    <w:semiHidden/>
    <w:rsid w:val="00134CD3"/>
  </w:style>
  <w:style w:type="paragraph" w:customStyle="1" w:styleId="BodyA">
    <w:name w:val="Body A"/>
    <w:basedOn w:val="Normal"/>
    <w:uiPriority w:val="1"/>
    <w:rsid w:val="24C209F9"/>
    <w:rPr>
      <w:rFonts w:ascii="Helvetica" w:eastAsia="Arial Unicode MS" w:hAnsi="Helvetica" w:cs="Arial Unicode MS"/>
      <w:color w:val="000000" w:themeColor="text1"/>
      <w:sz w:val="22"/>
      <w:szCs w:val="22"/>
    </w:rPr>
  </w:style>
  <w:style w:type="paragraph" w:customStyle="1" w:styleId="BodyBAA">
    <w:name w:val="Body B A A"/>
    <w:basedOn w:val="Normal"/>
    <w:uiPriority w:val="1"/>
    <w:rsid w:val="24C209F9"/>
    <w:rPr>
      <w:rFonts w:ascii="Times New Roman" w:eastAsia="Arial Unicode MS" w:hAnsi="Times New Roman" w:cs="Arial Unicode MS"/>
      <w:color w:val="000000" w:themeColor="text1"/>
    </w:rPr>
  </w:style>
  <w:style w:type="paragraph" w:customStyle="1" w:styleId="BodyB">
    <w:name w:val="Body B"/>
    <w:basedOn w:val="Normal"/>
    <w:uiPriority w:val="1"/>
    <w:rsid w:val="24C209F9"/>
    <w:rPr>
      <w:rFonts w:ascii="Times New Roman" w:eastAsia="Arial Unicode MS" w:hAnsi="Times New Roman" w:cs="Arial Unicode MS"/>
      <w:color w:val="000000" w:themeColor="text1"/>
    </w:rPr>
  </w:style>
  <w:style w:type="character" w:customStyle="1" w:styleId="cf01">
    <w:name w:val="cf01"/>
    <w:basedOn w:val="DefaultParagraphFont"/>
    <w:rsid w:val="009309DF"/>
    <w:rPr>
      <w:rFonts w:ascii="Segoe UI" w:hAnsi="Segoe UI" w:cs="Segoe UI" w:hint="default"/>
      <w:i/>
      <w:iCs/>
      <w:sz w:val="18"/>
      <w:szCs w:val="18"/>
    </w:rPr>
  </w:style>
  <w:style w:type="paragraph" w:customStyle="1" w:styleId="TableParagraph">
    <w:name w:val="Table Paragraph"/>
    <w:basedOn w:val="Normal"/>
    <w:uiPriority w:val="1"/>
    <w:qFormat/>
    <w:rsid w:val="00143698"/>
    <w:pPr>
      <w:widowControl w:val="0"/>
      <w:autoSpaceDE w:val="0"/>
      <w:autoSpaceDN w:val="0"/>
    </w:pPr>
    <w:rPr>
      <w:rFonts w:ascii="Arial" w:eastAsia="Arial" w:hAnsi="Arial" w:cs="Arial"/>
      <w:sz w:val="22"/>
      <w:szCs w:val="22"/>
    </w:rPr>
  </w:style>
  <w:style w:type="character" w:customStyle="1" w:styleId="Heading1Char">
    <w:name w:val="Heading 1 Char"/>
    <w:basedOn w:val="DefaultParagraphFont"/>
    <w:link w:val="Heading1"/>
    <w:uiPriority w:val="9"/>
    <w:rsid w:val="002D470A"/>
    <w:rPr>
      <w:rFonts w:eastAsiaTheme="minorEastAsia"/>
      <w:b/>
      <w:bCs/>
      <w:shd w:val="clear" w:color="auto" w:fill="FFFFFF" w:themeFill="background1"/>
    </w:rPr>
  </w:style>
  <w:style w:type="character" w:customStyle="1" w:styleId="Heading4Char">
    <w:name w:val="Heading 4 Char"/>
    <w:basedOn w:val="DefaultParagraphFont"/>
    <w:link w:val="Heading4"/>
    <w:uiPriority w:val="9"/>
    <w:rsid w:val="002104BF"/>
    <w:rPr>
      <w:rFonts w:eastAsiaTheme="minorEastAsia"/>
      <w:b/>
      <w:bCs/>
    </w:rPr>
  </w:style>
  <w:style w:type="paragraph" w:styleId="Title">
    <w:name w:val="Title"/>
    <w:basedOn w:val="Normal"/>
    <w:next w:val="Normal"/>
    <w:link w:val="TitleChar"/>
    <w:uiPriority w:val="10"/>
    <w:qFormat/>
    <w:rsid w:val="002D470A"/>
    <w:pPr>
      <w:widowControl w:val="0"/>
      <w:autoSpaceDE w:val="0"/>
      <w:autoSpaceDN w:val="0"/>
      <w:spacing w:after="240"/>
      <w:ind w:left="226" w:right="125"/>
      <w:jc w:val="center"/>
    </w:pPr>
    <w:rPr>
      <w:rFonts w:eastAsia="Times New Roman"/>
      <w:b/>
      <w:bCs/>
      <w:sz w:val="28"/>
      <w:szCs w:val="28"/>
    </w:rPr>
  </w:style>
  <w:style w:type="character" w:customStyle="1" w:styleId="TitleChar">
    <w:name w:val="Title Char"/>
    <w:basedOn w:val="DefaultParagraphFont"/>
    <w:link w:val="Title"/>
    <w:uiPriority w:val="10"/>
    <w:rsid w:val="002D470A"/>
    <w:rPr>
      <w:rFonts w:eastAsia="Times New Roman"/>
      <w:b/>
      <w:bCs/>
      <w:sz w:val="28"/>
      <w:szCs w:val="28"/>
    </w:rPr>
  </w:style>
  <w:style w:type="character" w:customStyle="1" w:styleId="Heading2Char">
    <w:name w:val="Heading 2 Char"/>
    <w:basedOn w:val="DefaultParagraphFont"/>
    <w:link w:val="Heading2"/>
    <w:uiPriority w:val="9"/>
    <w:rsid w:val="00B123D9"/>
    <w:rPr>
      <w:rFonts w:eastAsiaTheme="minorEastAsia"/>
      <w:b/>
      <w:bCs/>
    </w:rPr>
  </w:style>
  <w:style w:type="character" w:customStyle="1" w:styleId="Heading3Char">
    <w:name w:val="Heading 3 Char"/>
    <w:basedOn w:val="DefaultParagraphFont"/>
    <w:link w:val="Heading3"/>
    <w:uiPriority w:val="9"/>
    <w:rsid w:val="005A77CB"/>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658">
      <w:bodyDiv w:val="1"/>
      <w:marLeft w:val="0"/>
      <w:marRight w:val="0"/>
      <w:marTop w:val="0"/>
      <w:marBottom w:val="0"/>
      <w:divBdr>
        <w:top w:val="none" w:sz="0" w:space="0" w:color="auto"/>
        <w:left w:val="none" w:sz="0" w:space="0" w:color="auto"/>
        <w:bottom w:val="none" w:sz="0" w:space="0" w:color="auto"/>
        <w:right w:val="none" w:sz="0" w:space="0" w:color="auto"/>
      </w:divBdr>
      <w:divsChild>
        <w:div w:id="1290935924">
          <w:marLeft w:val="0"/>
          <w:marRight w:val="0"/>
          <w:marTop w:val="0"/>
          <w:marBottom w:val="0"/>
          <w:divBdr>
            <w:top w:val="none" w:sz="0" w:space="0" w:color="auto"/>
            <w:left w:val="none" w:sz="0" w:space="0" w:color="auto"/>
            <w:bottom w:val="none" w:sz="0" w:space="0" w:color="auto"/>
            <w:right w:val="none" w:sz="0" w:space="0" w:color="auto"/>
          </w:divBdr>
        </w:div>
        <w:div w:id="1612711989">
          <w:marLeft w:val="0"/>
          <w:marRight w:val="0"/>
          <w:marTop w:val="0"/>
          <w:marBottom w:val="0"/>
          <w:divBdr>
            <w:top w:val="none" w:sz="0" w:space="0" w:color="auto"/>
            <w:left w:val="none" w:sz="0" w:space="0" w:color="auto"/>
            <w:bottom w:val="none" w:sz="0" w:space="0" w:color="auto"/>
            <w:right w:val="none" w:sz="0" w:space="0" w:color="auto"/>
          </w:divBdr>
        </w:div>
        <w:div w:id="1514220479">
          <w:marLeft w:val="0"/>
          <w:marRight w:val="0"/>
          <w:marTop w:val="0"/>
          <w:marBottom w:val="0"/>
          <w:divBdr>
            <w:top w:val="none" w:sz="0" w:space="0" w:color="auto"/>
            <w:left w:val="none" w:sz="0" w:space="0" w:color="auto"/>
            <w:bottom w:val="none" w:sz="0" w:space="0" w:color="auto"/>
            <w:right w:val="none" w:sz="0" w:space="0" w:color="auto"/>
          </w:divBdr>
        </w:div>
        <w:div w:id="1685352298">
          <w:marLeft w:val="0"/>
          <w:marRight w:val="0"/>
          <w:marTop w:val="0"/>
          <w:marBottom w:val="0"/>
          <w:divBdr>
            <w:top w:val="none" w:sz="0" w:space="0" w:color="auto"/>
            <w:left w:val="none" w:sz="0" w:space="0" w:color="auto"/>
            <w:bottom w:val="none" w:sz="0" w:space="0" w:color="auto"/>
            <w:right w:val="none" w:sz="0" w:space="0" w:color="auto"/>
          </w:divBdr>
        </w:div>
        <w:div w:id="1477839395">
          <w:marLeft w:val="0"/>
          <w:marRight w:val="0"/>
          <w:marTop w:val="0"/>
          <w:marBottom w:val="0"/>
          <w:divBdr>
            <w:top w:val="none" w:sz="0" w:space="0" w:color="auto"/>
            <w:left w:val="none" w:sz="0" w:space="0" w:color="auto"/>
            <w:bottom w:val="none" w:sz="0" w:space="0" w:color="auto"/>
            <w:right w:val="none" w:sz="0" w:space="0" w:color="auto"/>
          </w:divBdr>
        </w:div>
        <w:div w:id="1871336717">
          <w:marLeft w:val="0"/>
          <w:marRight w:val="0"/>
          <w:marTop w:val="0"/>
          <w:marBottom w:val="0"/>
          <w:divBdr>
            <w:top w:val="none" w:sz="0" w:space="0" w:color="auto"/>
            <w:left w:val="none" w:sz="0" w:space="0" w:color="auto"/>
            <w:bottom w:val="none" w:sz="0" w:space="0" w:color="auto"/>
            <w:right w:val="none" w:sz="0" w:space="0" w:color="auto"/>
          </w:divBdr>
        </w:div>
      </w:divsChild>
    </w:div>
    <w:div w:id="72165271">
      <w:bodyDiv w:val="1"/>
      <w:marLeft w:val="0"/>
      <w:marRight w:val="0"/>
      <w:marTop w:val="0"/>
      <w:marBottom w:val="0"/>
      <w:divBdr>
        <w:top w:val="none" w:sz="0" w:space="0" w:color="auto"/>
        <w:left w:val="none" w:sz="0" w:space="0" w:color="auto"/>
        <w:bottom w:val="none" w:sz="0" w:space="0" w:color="auto"/>
        <w:right w:val="none" w:sz="0" w:space="0" w:color="auto"/>
      </w:divBdr>
    </w:div>
    <w:div w:id="249854232">
      <w:bodyDiv w:val="1"/>
      <w:marLeft w:val="0"/>
      <w:marRight w:val="0"/>
      <w:marTop w:val="0"/>
      <w:marBottom w:val="0"/>
      <w:divBdr>
        <w:top w:val="none" w:sz="0" w:space="0" w:color="auto"/>
        <w:left w:val="none" w:sz="0" w:space="0" w:color="auto"/>
        <w:bottom w:val="none" w:sz="0" w:space="0" w:color="auto"/>
        <w:right w:val="none" w:sz="0" w:space="0" w:color="auto"/>
      </w:divBdr>
      <w:divsChild>
        <w:div w:id="1560168081">
          <w:marLeft w:val="0"/>
          <w:marRight w:val="0"/>
          <w:marTop w:val="0"/>
          <w:marBottom w:val="0"/>
          <w:divBdr>
            <w:top w:val="none" w:sz="0" w:space="0" w:color="auto"/>
            <w:left w:val="none" w:sz="0" w:space="0" w:color="auto"/>
            <w:bottom w:val="none" w:sz="0" w:space="0" w:color="auto"/>
            <w:right w:val="none" w:sz="0" w:space="0" w:color="auto"/>
          </w:divBdr>
        </w:div>
        <w:div w:id="1010374815">
          <w:marLeft w:val="0"/>
          <w:marRight w:val="0"/>
          <w:marTop w:val="0"/>
          <w:marBottom w:val="0"/>
          <w:divBdr>
            <w:top w:val="none" w:sz="0" w:space="0" w:color="auto"/>
            <w:left w:val="none" w:sz="0" w:space="0" w:color="auto"/>
            <w:bottom w:val="none" w:sz="0" w:space="0" w:color="auto"/>
            <w:right w:val="none" w:sz="0" w:space="0" w:color="auto"/>
          </w:divBdr>
        </w:div>
      </w:divsChild>
    </w:div>
    <w:div w:id="320160301">
      <w:bodyDiv w:val="1"/>
      <w:marLeft w:val="0"/>
      <w:marRight w:val="0"/>
      <w:marTop w:val="0"/>
      <w:marBottom w:val="0"/>
      <w:divBdr>
        <w:top w:val="none" w:sz="0" w:space="0" w:color="auto"/>
        <w:left w:val="none" w:sz="0" w:space="0" w:color="auto"/>
        <w:bottom w:val="none" w:sz="0" w:space="0" w:color="auto"/>
        <w:right w:val="none" w:sz="0" w:space="0" w:color="auto"/>
      </w:divBdr>
    </w:div>
    <w:div w:id="364790731">
      <w:bodyDiv w:val="1"/>
      <w:marLeft w:val="0"/>
      <w:marRight w:val="0"/>
      <w:marTop w:val="0"/>
      <w:marBottom w:val="0"/>
      <w:divBdr>
        <w:top w:val="none" w:sz="0" w:space="0" w:color="auto"/>
        <w:left w:val="none" w:sz="0" w:space="0" w:color="auto"/>
        <w:bottom w:val="none" w:sz="0" w:space="0" w:color="auto"/>
        <w:right w:val="none" w:sz="0" w:space="0" w:color="auto"/>
      </w:divBdr>
    </w:div>
    <w:div w:id="376048396">
      <w:bodyDiv w:val="1"/>
      <w:marLeft w:val="0"/>
      <w:marRight w:val="0"/>
      <w:marTop w:val="0"/>
      <w:marBottom w:val="0"/>
      <w:divBdr>
        <w:top w:val="none" w:sz="0" w:space="0" w:color="auto"/>
        <w:left w:val="none" w:sz="0" w:space="0" w:color="auto"/>
        <w:bottom w:val="none" w:sz="0" w:space="0" w:color="auto"/>
        <w:right w:val="none" w:sz="0" w:space="0" w:color="auto"/>
      </w:divBdr>
      <w:divsChild>
        <w:div w:id="2075424828">
          <w:marLeft w:val="0"/>
          <w:marRight w:val="0"/>
          <w:marTop w:val="0"/>
          <w:marBottom w:val="0"/>
          <w:divBdr>
            <w:top w:val="none" w:sz="0" w:space="0" w:color="auto"/>
            <w:left w:val="none" w:sz="0" w:space="0" w:color="auto"/>
            <w:bottom w:val="none" w:sz="0" w:space="0" w:color="auto"/>
            <w:right w:val="none" w:sz="0" w:space="0" w:color="auto"/>
          </w:divBdr>
        </w:div>
        <w:div w:id="1271427671">
          <w:marLeft w:val="0"/>
          <w:marRight w:val="0"/>
          <w:marTop w:val="0"/>
          <w:marBottom w:val="0"/>
          <w:divBdr>
            <w:top w:val="none" w:sz="0" w:space="0" w:color="auto"/>
            <w:left w:val="none" w:sz="0" w:space="0" w:color="auto"/>
            <w:bottom w:val="none" w:sz="0" w:space="0" w:color="auto"/>
            <w:right w:val="none" w:sz="0" w:space="0" w:color="auto"/>
          </w:divBdr>
        </w:div>
      </w:divsChild>
    </w:div>
    <w:div w:id="404301587">
      <w:bodyDiv w:val="1"/>
      <w:marLeft w:val="0"/>
      <w:marRight w:val="0"/>
      <w:marTop w:val="0"/>
      <w:marBottom w:val="0"/>
      <w:divBdr>
        <w:top w:val="none" w:sz="0" w:space="0" w:color="auto"/>
        <w:left w:val="none" w:sz="0" w:space="0" w:color="auto"/>
        <w:bottom w:val="none" w:sz="0" w:space="0" w:color="auto"/>
        <w:right w:val="none" w:sz="0" w:space="0" w:color="auto"/>
      </w:divBdr>
      <w:divsChild>
        <w:div w:id="578518048">
          <w:marLeft w:val="0"/>
          <w:marRight w:val="0"/>
          <w:marTop w:val="0"/>
          <w:marBottom w:val="0"/>
          <w:divBdr>
            <w:top w:val="none" w:sz="0" w:space="0" w:color="auto"/>
            <w:left w:val="none" w:sz="0" w:space="0" w:color="auto"/>
            <w:bottom w:val="none" w:sz="0" w:space="0" w:color="auto"/>
            <w:right w:val="none" w:sz="0" w:space="0" w:color="auto"/>
          </w:divBdr>
          <w:divsChild>
            <w:div w:id="65685056">
              <w:marLeft w:val="0"/>
              <w:marRight w:val="0"/>
              <w:marTop w:val="0"/>
              <w:marBottom w:val="0"/>
              <w:divBdr>
                <w:top w:val="none" w:sz="0" w:space="0" w:color="auto"/>
                <w:left w:val="none" w:sz="0" w:space="0" w:color="auto"/>
                <w:bottom w:val="none" w:sz="0" w:space="0" w:color="auto"/>
                <w:right w:val="none" w:sz="0" w:space="0" w:color="auto"/>
              </w:divBdr>
            </w:div>
            <w:div w:id="330181139">
              <w:marLeft w:val="0"/>
              <w:marRight w:val="0"/>
              <w:marTop w:val="0"/>
              <w:marBottom w:val="0"/>
              <w:divBdr>
                <w:top w:val="none" w:sz="0" w:space="0" w:color="auto"/>
                <w:left w:val="none" w:sz="0" w:space="0" w:color="auto"/>
                <w:bottom w:val="none" w:sz="0" w:space="0" w:color="auto"/>
                <w:right w:val="none" w:sz="0" w:space="0" w:color="auto"/>
              </w:divBdr>
            </w:div>
          </w:divsChild>
        </w:div>
        <w:div w:id="1106463264">
          <w:marLeft w:val="0"/>
          <w:marRight w:val="0"/>
          <w:marTop w:val="0"/>
          <w:marBottom w:val="0"/>
          <w:divBdr>
            <w:top w:val="none" w:sz="0" w:space="0" w:color="auto"/>
            <w:left w:val="none" w:sz="0" w:space="0" w:color="auto"/>
            <w:bottom w:val="none" w:sz="0" w:space="0" w:color="auto"/>
            <w:right w:val="none" w:sz="0" w:space="0" w:color="auto"/>
          </w:divBdr>
          <w:divsChild>
            <w:div w:id="83500993">
              <w:marLeft w:val="0"/>
              <w:marRight w:val="0"/>
              <w:marTop w:val="0"/>
              <w:marBottom w:val="0"/>
              <w:divBdr>
                <w:top w:val="none" w:sz="0" w:space="0" w:color="auto"/>
                <w:left w:val="none" w:sz="0" w:space="0" w:color="auto"/>
                <w:bottom w:val="none" w:sz="0" w:space="0" w:color="auto"/>
                <w:right w:val="none" w:sz="0" w:space="0" w:color="auto"/>
              </w:divBdr>
            </w:div>
          </w:divsChild>
        </w:div>
        <w:div w:id="1006594967">
          <w:marLeft w:val="0"/>
          <w:marRight w:val="0"/>
          <w:marTop w:val="0"/>
          <w:marBottom w:val="0"/>
          <w:divBdr>
            <w:top w:val="none" w:sz="0" w:space="0" w:color="auto"/>
            <w:left w:val="none" w:sz="0" w:space="0" w:color="auto"/>
            <w:bottom w:val="none" w:sz="0" w:space="0" w:color="auto"/>
            <w:right w:val="none" w:sz="0" w:space="0" w:color="auto"/>
          </w:divBdr>
          <w:divsChild>
            <w:div w:id="1036197872">
              <w:marLeft w:val="0"/>
              <w:marRight w:val="0"/>
              <w:marTop w:val="0"/>
              <w:marBottom w:val="0"/>
              <w:divBdr>
                <w:top w:val="none" w:sz="0" w:space="0" w:color="auto"/>
                <w:left w:val="none" w:sz="0" w:space="0" w:color="auto"/>
                <w:bottom w:val="none" w:sz="0" w:space="0" w:color="auto"/>
                <w:right w:val="none" w:sz="0" w:space="0" w:color="auto"/>
              </w:divBdr>
            </w:div>
          </w:divsChild>
        </w:div>
        <w:div w:id="1587572810">
          <w:marLeft w:val="0"/>
          <w:marRight w:val="0"/>
          <w:marTop w:val="0"/>
          <w:marBottom w:val="0"/>
          <w:divBdr>
            <w:top w:val="none" w:sz="0" w:space="0" w:color="auto"/>
            <w:left w:val="none" w:sz="0" w:space="0" w:color="auto"/>
            <w:bottom w:val="none" w:sz="0" w:space="0" w:color="auto"/>
            <w:right w:val="none" w:sz="0" w:space="0" w:color="auto"/>
          </w:divBdr>
          <w:divsChild>
            <w:div w:id="895043615">
              <w:marLeft w:val="0"/>
              <w:marRight w:val="0"/>
              <w:marTop w:val="0"/>
              <w:marBottom w:val="0"/>
              <w:divBdr>
                <w:top w:val="none" w:sz="0" w:space="0" w:color="auto"/>
                <w:left w:val="none" w:sz="0" w:space="0" w:color="auto"/>
                <w:bottom w:val="none" w:sz="0" w:space="0" w:color="auto"/>
                <w:right w:val="none" w:sz="0" w:space="0" w:color="auto"/>
              </w:divBdr>
            </w:div>
          </w:divsChild>
        </w:div>
        <w:div w:id="1191409901">
          <w:marLeft w:val="0"/>
          <w:marRight w:val="0"/>
          <w:marTop w:val="0"/>
          <w:marBottom w:val="0"/>
          <w:divBdr>
            <w:top w:val="none" w:sz="0" w:space="0" w:color="auto"/>
            <w:left w:val="none" w:sz="0" w:space="0" w:color="auto"/>
            <w:bottom w:val="none" w:sz="0" w:space="0" w:color="auto"/>
            <w:right w:val="none" w:sz="0" w:space="0" w:color="auto"/>
          </w:divBdr>
          <w:divsChild>
            <w:div w:id="21127086">
              <w:marLeft w:val="0"/>
              <w:marRight w:val="0"/>
              <w:marTop w:val="0"/>
              <w:marBottom w:val="0"/>
              <w:divBdr>
                <w:top w:val="none" w:sz="0" w:space="0" w:color="auto"/>
                <w:left w:val="none" w:sz="0" w:space="0" w:color="auto"/>
                <w:bottom w:val="none" w:sz="0" w:space="0" w:color="auto"/>
                <w:right w:val="none" w:sz="0" w:space="0" w:color="auto"/>
              </w:divBdr>
            </w:div>
          </w:divsChild>
        </w:div>
        <w:div w:id="1999574878">
          <w:marLeft w:val="0"/>
          <w:marRight w:val="0"/>
          <w:marTop w:val="0"/>
          <w:marBottom w:val="0"/>
          <w:divBdr>
            <w:top w:val="none" w:sz="0" w:space="0" w:color="auto"/>
            <w:left w:val="none" w:sz="0" w:space="0" w:color="auto"/>
            <w:bottom w:val="none" w:sz="0" w:space="0" w:color="auto"/>
            <w:right w:val="none" w:sz="0" w:space="0" w:color="auto"/>
          </w:divBdr>
          <w:divsChild>
            <w:div w:id="1253854497">
              <w:marLeft w:val="0"/>
              <w:marRight w:val="0"/>
              <w:marTop w:val="0"/>
              <w:marBottom w:val="0"/>
              <w:divBdr>
                <w:top w:val="none" w:sz="0" w:space="0" w:color="auto"/>
                <w:left w:val="none" w:sz="0" w:space="0" w:color="auto"/>
                <w:bottom w:val="none" w:sz="0" w:space="0" w:color="auto"/>
                <w:right w:val="none" w:sz="0" w:space="0" w:color="auto"/>
              </w:divBdr>
            </w:div>
          </w:divsChild>
        </w:div>
        <w:div w:id="121577635">
          <w:marLeft w:val="0"/>
          <w:marRight w:val="0"/>
          <w:marTop w:val="0"/>
          <w:marBottom w:val="0"/>
          <w:divBdr>
            <w:top w:val="none" w:sz="0" w:space="0" w:color="auto"/>
            <w:left w:val="none" w:sz="0" w:space="0" w:color="auto"/>
            <w:bottom w:val="none" w:sz="0" w:space="0" w:color="auto"/>
            <w:right w:val="none" w:sz="0" w:space="0" w:color="auto"/>
          </w:divBdr>
          <w:divsChild>
            <w:div w:id="209611080">
              <w:marLeft w:val="0"/>
              <w:marRight w:val="0"/>
              <w:marTop w:val="0"/>
              <w:marBottom w:val="0"/>
              <w:divBdr>
                <w:top w:val="none" w:sz="0" w:space="0" w:color="auto"/>
                <w:left w:val="none" w:sz="0" w:space="0" w:color="auto"/>
                <w:bottom w:val="none" w:sz="0" w:space="0" w:color="auto"/>
                <w:right w:val="none" w:sz="0" w:space="0" w:color="auto"/>
              </w:divBdr>
            </w:div>
          </w:divsChild>
        </w:div>
        <w:div w:id="352849216">
          <w:marLeft w:val="0"/>
          <w:marRight w:val="0"/>
          <w:marTop w:val="0"/>
          <w:marBottom w:val="0"/>
          <w:divBdr>
            <w:top w:val="none" w:sz="0" w:space="0" w:color="auto"/>
            <w:left w:val="none" w:sz="0" w:space="0" w:color="auto"/>
            <w:bottom w:val="none" w:sz="0" w:space="0" w:color="auto"/>
            <w:right w:val="none" w:sz="0" w:space="0" w:color="auto"/>
          </w:divBdr>
          <w:divsChild>
            <w:div w:id="502428594">
              <w:marLeft w:val="0"/>
              <w:marRight w:val="0"/>
              <w:marTop w:val="0"/>
              <w:marBottom w:val="0"/>
              <w:divBdr>
                <w:top w:val="none" w:sz="0" w:space="0" w:color="auto"/>
                <w:left w:val="none" w:sz="0" w:space="0" w:color="auto"/>
                <w:bottom w:val="none" w:sz="0" w:space="0" w:color="auto"/>
                <w:right w:val="none" w:sz="0" w:space="0" w:color="auto"/>
              </w:divBdr>
            </w:div>
          </w:divsChild>
        </w:div>
        <w:div w:id="858739857">
          <w:marLeft w:val="0"/>
          <w:marRight w:val="0"/>
          <w:marTop w:val="0"/>
          <w:marBottom w:val="0"/>
          <w:divBdr>
            <w:top w:val="none" w:sz="0" w:space="0" w:color="auto"/>
            <w:left w:val="none" w:sz="0" w:space="0" w:color="auto"/>
            <w:bottom w:val="none" w:sz="0" w:space="0" w:color="auto"/>
            <w:right w:val="none" w:sz="0" w:space="0" w:color="auto"/>
          </w:divBdr>
          <w:divsChild>
            <w:div w:id="1842506714">
              <w:marLeft w:val="0"/>
              <w:marRight w:val="0"/>
              <w:marTop w:val="0"/>
              <w:marBottom w:val="0"/>
              <w:divBdr>
                <w:top w:val="none" w:sz="0" w:space="0" w:color="auto"/>
                <w:left w:val="none" w:sz="0" w:space="0" w:color="auto"/>
                <w:bottom w:val="none" w:sz="0" w:space="0" w:color="auto"/>
                <w:right w:val="none" w:sz="0" w:space="0" w:color="auto"/>
              </w:divBdr>
            </w:div>
          </w:divsChild>
        </w:div>
        <w:div w:id="1119377076">
          <w:marLeft w:val="0"/>
          <w:marRight w:val="0"/>
          <w:marTop w:val="0"/>
          <w:marBottom w:val="0"/>
          <w:divBdr>
            <w:top w:val="none" w:sz="0" w:space="0" w:color="auto"/>
            <w:left w:val="none" w:sz="0" w:space="0" w:color="auto"/>
            <w:bottom w:val="none" w:sz="0" w:space="0" w:color="auto"/>
            <w:right w:val="none" w:sz="0" w:space="0" w:color="auto"/>
          </w:divBdr>
          <w:divsChild>
            <w:div w:id="1497187468">
              <w:marLeft w:val="0"/>
              <w:marRight w:val="0"/>
              <w:marTop w:val="0"/>
              <w:marBottom w:val="0"/>
              <w:divBdr>
                <w:top w:val="none" w:sz="0" w:space="0" w:color="auto"/>
                <w:left w:val="none" w:sz="0" w:space="0" w:color="auto"/>
                <w:bottom w:val="none" w:sz="0" w:space="0" w:color="auto"/>
                <w:right w:val="none" w:sz="0" w:space="0" w:color="auto"/>
              </w:divBdr>
            </w:div>
          </w:divsChild>
        </w:div>
        <w:div w:id="108012512">
          <w:marLeft w:val="0"/>
          <w:marRight w:val="0"/>
          <w:marTop w:val="0"/>
          <w:marBottom w:val="0"/>
          <w:divBdr>
            <w:top w:val="none" w:sz="0" w:space="0" w:color="auto"/>
            <w:left w:val="none" w:sz="0" w:space="0" w:color="auto"/>
            <w:bottom w:val="none" w:sz="0" w:space="0" w:color="auto"/>
            <w:right w:val="none" w:sz="0" w:space="0" w:color="auto"/>
          </w:divBdr>
          <w:divsChild>
            <w:div w:id="1665746385">
              <w:marLeft w:val="0"/>
              <w:marRight w:val="0"/>
              <w:marTop w:val="0"/>
              <w:marBottom w:val="0"/>
              <w:divBdr>
                <w:top w:val="none" w:sz="0" w:space="0" w:color="auto"/>
                <w:left w:val="none" w:sz="0" w:space="0" w:color="auto"/>
                <w:bottom w:val="none" w:sz="0" w:space="0" w:color="auto"/>
                <w:right w:val="none" w:sz="0" w:space="0" w:color="auto"/>
              </w:divBdr>
            </w:div>
          </w:divsChild>
        </w:div>
        <w:div w:id="1904287763">
          <w:marLeft w:val="0"/>
          <w:marRight w:val="0"/>
          <w:marTop w:val="0"/>
          <w:marBottom w:val="0"/>
          <w:divBdr>
            <w:top w:val="none" w:sz="0" w:space="0" w:color="auto"/>
            <w:left w:val="none" w:sz="0" w:space="0" w:color="auto"/>
            <w:bottom w:val="none" w:sz="0" w:space="0" w:color="auto"/>
            <w:right w:val="none" w:sz="0" w:space="0" w:color="auto"/>
          </w:divBdr>
          <w:divsChild>
            <w:div w:id="1774862370">
              <w:marLeft w:val="0"/>
              <w:marRight w:val="0"/>
              <w:marTop w:val="0"/>
              <w:marBottom w:val="0"/>
              <w:divBdr>
                <w:top w:val="none" w:sz="0" w:space="0" w:color="auto"/>
                <w:left w:val="none" w:sz="0" w:space="0" w:color="auto"/>
                <w:bottom w:val="none" w:sz="0" w:space="0" w:color="auto"/>
                <w:right w:val="none" w:sz="0" w:space="0" w:color="auto"/>
              </w:divBdr>
            </w:div>
          </w:divsChild>
        </w:div>
        <w:div w:id="1374618753">
          <w:marLeft w:val="0"/>
          <w:marRight w:val="0"/>
          <w:marTop w:val="0"/>
          <w:marBottom w:val="0"/>
          <w:divBdr>
            <w:top w:val="none" w:sz="0" w:space="0" w:color="auto"/>
            <w:left w:val="none" w:sz="0" w:space="0" w:color="auto"/>
            <w:bottom w:val="none" w:sz="0" w:space="0" w:color="auto"/>
            <w:right w:val="none" w:sz="0" w:space="0" w:color="auto"/>
          </w:divBdr>
          <w:divsChild>
            <w:div w:id="488986228">
              <w:marLeft w:val="0"/>
              <w:marRight w:val="0"/>
              <w:marTop w:val="0"/>
              <w:marBottom w:val="0"/>
              <w:divBdr>
                <w:top w:val="none" w:sz="0" w:space="0" w:color="auto"/>
                <w:left w:val="none" w:sz="0" w:space="0" w:color="auto"/>
                <w:bottom w:val="none" w:sz="0" w:space="0" w:color="auto"/>
                <w:right w:val="none" w:sz="0" w:space="0" w:color="auto"/>
              </w:divBdr>
            </w:div>
          </w:divsChild>
        </w:div>
        <w:div w:id="1905682977">
          <w:marLeft w:val="0"/>
          <w:marRight w:val="0"/>
          <w:marTop w:val="0"/>
          <w:marBottom w:val="0"/>
          <w:divBdr>
            <w:top w:val="none" w:sz="0" w:space="0" w:color="auto"/>
            <w:left w:val="none" w:sz="0" w:space="0" w:color="auto"/>
            <w:bottom w:val="none" w:sz="0" w:space="0" w:color="auto"/>
            <w:right w:val="none" w:sz="0" w:space="0" w:color="auto"/>
          </w:divBdr>
          <w:divsChild>
            <w:div w:id="1454398743">
              <w:marLeft w:val="0"/>
              <w:marRight w:val="0"/>
              <w:marTop w:val="0"/>
              <w:marBottom w:val="0"/>
              <w:divBdr>
                <w:top w:val="none" w:sz="0" w:space="0" w:color="auto"/>
                <w:left w:val="none" w:sz="0" w:space="0" w:color="auto"/>
                <w:bottom w:val="none" w:sz="0" w:space="0" w:color="auto"/>
                <w:right w:val="none" w:sz="0" w:space="0" w:color="auto"/>
              </w:divBdr>
            </w:div>
          </w:divsChild>
        </w:div>
        <w:div w:id="1275675610">
          <w:marLeft w:val="0"/>
          <w:marRight w:val="0"/>
          <w:marTop w:val="0"/>
          <w:marBottom w:val="0"/>
          <w:divBdr>
            <w:top w:val="none" w:sz="0" w:space="0" w:color="auto"/>
            <w:left w:val="none" w:sz="0" w:space="0" w:color="auto"/>
            <w:bottom w:val="none" w:sz="0" w:space="0" w:color="auto"/>
            <w:right w:val="none" w:sz="0" w:space="0" w:color="auto"/>
          </w:divBdr>
          <w:divsChild>
            <w:div w:id="359626182">
              <w:marLeft w:val="0"/>
              <w:marRight w:val="0"/>
              <w:marTop w:val="0"/>
              <w:marBottom w:val="0"/>
              <w:divBdr>
                <w:top w:val="none" w:sz="0" w:space="0" w:color="auto"/>
                <w:left w:val="none" w:sz="0" w:space="0" w:color="auto"/>
                <w:bottom w:val="none" w:sz="0" w:space="0" w:color="auto"/>
                <w:right w:val="none" w:sz="0" w:space="0" w:color="auto"/>
              </w:divBdr>
            </w:div>
          </w:divsChild>
        </w:div>
        <w:div w:id="419496257">
          <w:marLeft w:val="0"/>
          <w:marRight w:val="0"/>
          <w:marTop w:val="0"/>
          <w:marBottom w:val="0"/>
          <w:divBdr>
            <w:top w:val="none" w:sz="0" w:space="0" w:color="auto"/>
            <w:left w:val="none" w:sz="0" w:space="0" w:color="auto"/>
            <w:bottom w:val="none" w:sz="0" w:space="0" w:color="auto"/>
            <w:right w:val="none" w:sz="0" w:space="0" w:color="auto"/>
          </w:divBdr>
          <w:divsChild>
            <w:div w:id="787699601">
              <w:marLeft w:val="0"/>
              <w:marRight w:val="0"/>
              <w:marTop w:val="0"/>
              <w:marBottom w:val="0"/>
              <w:divBdr>
                <w:top w:val="none" w:sz="0" w:space="0" w:color="auto"/>
                <w:left w:val="none" w:sz="0" w:space="0" w:color="auto"/>
                <w:bottom w:val="none" w:sz="0" w:space="0" w:color="auto"/>
                <w:right w:val="none" w:sz="0" w:space="0" w:color="auto"/>
              </w:divBdr>
            </w:div>
            <w:div w:id="1895462620">
              <w:marLeft w:val="0"/>
              <w:marRight w:val="0"/>
              <w:marTop w:val="0"/>
              <w:marBottom w:val="0"/>
              <w:divBdr>
                <w:top w:val="none" w:sz="0" w:space="0" w:color="auto"/>
                <w:left w:val="none" w:sz="0" w:space="0" w:color="auto"/>
                <w:bottom w:val="none" w:sz="0" w:space="0" w:color="auto"/>
                <w:right w:val="none" w:sz="0" w:space="0" w:color="auto"/>
              </w:divBdr>
            </w:div>
            <w:div w:id="2146388698">
              <w:marLeft w:val="0"/>
              <w:marRight w:val="0"/>
              <w:marTop w:val="0"/>
              <w:marBottom w:val="0"/>
              <w:divBdr>
                <w:top w:val="none" w:sz="0" w:space="0" w:color="auto"/>
                <w:left w:val="none" w:sz="0" w:space="0" w:color="auto"/>
                <w:bottom w:val="none" w:sz="0" w:space="0" w:color="auto"/>
                <w:right w:val="none" w:sz="0" w:space="0" w:color="auto"/>
              </w:divBdr>
            </w:div>
          </w:divsChild>
        </w:div>
        <w:div w:id="563377592">
          <w:marLeft w:val="0"/>
          <w:marRight w:val="0"/>
          <w:marTop w:val="0"/>
          <w:marBottom w:val="0"/>
          <w:divBdr>
            <w:top w:val="none" w:sz="0" w:space="0" w:color="auto"/>
            <w:left w:val="none" w:sz="0" w:space="0" w:color="auto"/>
            <w:bottom w:val="none" w:sz="0" w:space="0" w:color="auto"/>
            <w:right w:val="none" w:sz="0" w:space="0" w:color="auto"/>
          </w:divBdr>
          <w:divsChild>
            <w:div w:id="751779483">
              <w:marLeft w:val="0"/>
              <w:marRight w:val="0"/>
              <w:marTop w:val="0"/>
              <w:marBottom w:val="0"/>
              <w:divBdr>
                <w:top w:val="none" w:sz="0" w:space="0" w:color="auto"/>
                <w:left w:val="none" w:sz="0" w:space="0" w:color="auto"/>
                <w:bottom w:val="none" w:sz="0" w:space="0" w:color="auto"/>
                <w:right w:val="none" w:sz="0" w:space="0" w:color="auto"/>
              </w:divBdr>
            </w:div>
            <w:div w:id="1467432516">
              <w:marLeft w:val="0"/>
              <w:marRight w:val="0"/>
              <w:marTop w:val="0"/>
              <w:marBottom w:val="0"/>
              <w:divBdr>
                <w:top w:val="none" w:sz="0" w:space="0" w:color="auto"/>
                <w:left w:val="none" w:sz="0" w:space="0" w:color="auto"/>
                <w:bottom w:val="none" w:sz="0" w:space="0" w:color="auto"/>
                <w:right w:val="none" w:sz="0" w:space="0" w:color="auto"/>
              </w:divBdr>
            </w:div>
            <w:div w:id="1499617130">
              <w:marLeft w:val="0"/>
              <w:marRight w:val="0"/>
              <w:marTop w:val="0"/>
              <w:marBottom w:val="0"/>
              <w:divBdr>
                <w:top w:val="none" w:sz="0" w:space="0" w:color="auto"/>
                <w:left w:val="none" w:sz="0" w:space="0" w:color="auto"/>
                <w:bottom w:val="none" w:sz="0" w:space="0" w:color="auto"/>
                <w:right w:val="none" w:sz="0" w:space="0" w:color="auto"/>
              </w:divBdr>
            </w:div>
          </w:divsChild>
        </w:div>
        <w:div w:id="1144199763">
          <w:marLeft w:val="0"/>
          <w:marRight w:val="0"/>
          <w:marTop w:val="0"/>
          <w:marBottom w:val="0"/>
          <w:divBdr>
            <w:top w:val="none" w:sz="0" w:space="0" w:color="auto"/>
            <w:left w:val="none" w:sz="0" w:space="0" w:color="auto"/>
            <w:bottom w:val="none" w:sz="0" w:space="0" w:color="auto"/>
            <w:right w:val="none" w:sz="0" w:space="0" w:color="auto"/>
          </w:divBdr>
          <w:divsChild>
            <w:div w:id="1355889056">
              <w:marLeft w:val="0"/>
              <w:marRight w:val="0"/>
              <w:marTop w:val="0"/>
              <w:marBottom w:val="0"/>
              <w:divBdr>
                <w:top w:val="none" w:sz="0" w:space="0" w:color="auto"/>
                <w:left w:val="none" w:sz="0" w:space="0" w:color="auto"/>
                <w:bottom w:val="none" w:sz="0" w:space="0" w:color="auto"/>
                <w:right w:val="none" w:sz="0" w:space="0" w:color="auto"/>
              </w:divBdr>
            </w:div>
            <w:div w:id="1142234688">
              <w:marLeft w:val="0"/>
              <w:marRight w:val="0"/>
              <w:marTop w:val="0"/>
              <w:marBottom w:val="0"/>
              <w:divBdr>
                <w:top w:val="none" w:sz="0" w:space="0" w:color="auto"/>
                <w:left w:val="none" w:sz="0" w:space="0" w:color="auto"/>
                <w:bottom w:val="none" w:sz="0" w:space="0" w:color="auto"/>
                <w:right w:val="none" w:sz="0" w:space="0" w:color="auto"/>
              </w:divBdr>
            </w:div>
            <w:div w:id="356390952">
              <w:marLeft w:val="0"/>
              <w:marRight w:val="0"/>
              <w:marTop w:val="0"/>
              <w:marBottom w:val="0"/>
              <w:divBdr>
                <w:top w:val="none" w:sz="0" w:space="0" w:color="auto"/>
                <w:left w:val="none" w:sz="0" w:space="0" w:color="auto"/>
                <w:bottom w:val="none" w:sz="0" w:space="0" w:color="auto"/>
                <w:right w:val="none" w:sz="0" w:space="0" w:color="auto"/>
              </w:divBdr>
            </w:div>
          </w:divsChild>
        </w:div>
        <w:div w:id="76950140">
          <w:marLeft w:val="0"/>
          <w:marRight w:val="0"/>
          <w:marTop w:val="0"/>
          <w:marBottom w:val="0"/>
          <w:divBdr>
            <w:top w:val="none" w:sz="0" w:space="0" w:color="auto"/>
            <w:left w:val="none" w:sz="0" w:space="0" w:color="auto"/>
            <w:bottom w:val="none" w:sz="0" w:space="0" w:color="auto"/>
            <w:right w:val="none" w:sz="0" w:space="0" w:color="auto"/>
          </w:divBdr>
          <w:divsChild>
            <w:div w:id="1620836903">
              <w:marLeft w:val="0"/>
              <w:marRight w:val="0"/>
              <w:marTop w:val="0"/>
              <w:marBottom w:val="0"/>
              <w:divBdr>
                <w:top w:val="none" w:sz="0" w:space="0" w:color="auto"/>
                <w:left w:val="none" w:sz="0" w:space="0" w:color="auto"/>
                <w:bottom w:val="none" w:sz="0" w:space="0" w:color="auto"/>
                <w:right w:val="none" w:sz="0" w:space="0" w:color="auto"/>
              </w:divBdr>
            </w:div>
            <w:div w:id="143787871">
              <w:marLeft w:val="0"/>
              <w:marRight w:val="0"/>
              <w:marTop w:val="0"/>
              <w:marBottom w:val="0"/>
              <w:divBdr>
                <w:top w:val="none" w:sz="0" w:space="0" w:color="auto"/>
                <w:left w:val="none" w:sz="0" w:space="0" w:color="auto"/>
                <w:bottom w:val="none" w:sz="0" w:space="0" w:color="auto"/>
                <w:right w:val="none" w:sz="0" w:space="0" w:color="auto"/>
              </w:divBdr>
            </w:div>
            <w:div w:id="1614051957">
              <w:marLeft w:val="0"/>
              <w:marRight w:val="0"/>
              <w:marTop w:val="0"/>
              <w:marBottom w:val="0"/>
              <w:divBdr>
                <w:top w:val="none" w:sz="0" w:space="0" w:color="auto"/>
                <w:left w:val="none" w:sz="0" w:space="0" w:color="auto"/>
                <w:bottom w:val="none" w:sz="0" w:space="0" w:color="auto"/>
                <w:right w:val="none" w:sz="0" w:space="0" w:color="auto"/>
              </w:divBdr>
            </w:div>
          </w:divsChild>
        </w:div>
        <w:div w:id="1676765956">
          <w:marLeft w:val="0"/>
          <w:marRight w:val="0"/>
          <w:marTop w:val="0"/>
          <w:marBottom w:val="0"/>
          <w:divBdr>
            <w:top w:val="none" w:sz="0" w:space="0" w:color="auto"/>
            <w:left w:val="none" w:sz="0" w:space="0" w:color="auto"/>
            <w:bottom w:val="none" w:sz="0" w:space="0" w:color="auto"/>
            <w:right w:val="none" w:sz="0" w:space="0" w:color="auto"/>
          </w:divBdr>
          <w:divsChild>
            <w:div w:id="1512528341">
              <w:marLeft w:val="0"/>
              <w:marRight w:val="0"/>
              <w:marTop w:val="0"/>
              <w:marBottom w:val="0"/>
              <w:divBdr>
                <w:top w:val="none" w:sz="0" w:space="0" w:color="auto"/>
                <w:left w:val="none" w:sz="0" w:space="0" w:color="auto"/>
                <w:bottom w:val="none" w:sz="0" w:space="0" w:color="auto"/>
                <w:right w:val="none" w:sz="0" w:space="0" w:color="auto"/>
              </w:divBdr>
            </w:div>
          </w:divsChild>
        </w:div>
        <w:div w:id="1917013761">
          <w:marLeft w:val="0"/>
          <w:marRight w:val="0"/>
          <w:marTop w:val="0"/>
          <w:marBottom w:val="0"/>
          <w:divBdr>
            <w:top w:val="none" w:sz="0" w:space="0" w:color="auto"/>
            <w:left w:val="none" w:sz="0" w:space="0" w:color="auto"/>
            <w:bottom w:val="none" w:sz="0" w:space="0" w:color="auto"/>
            <w:right w:val="none" w:sz="0" w:space="0" w:color="auto"/>
          </w:divBdr>
          <w:divsChild>
            <w:div w:id="565921681">
              <w:marLeft w:val="0"/>
              <w:marRight w:val="0"/>
              <w:marTop w:val="0"/>
              <w:marBottom w:val="0"/>
              <w:divBdr>
                <w:top w:val="none" w:sz="0" w:space="0" w:color="auto"/>
                <w:left w:val="none" w:sz="0" w:space="0" w:color="auto"/>
                <w:bottom w:val="none" w:sz="0" w:space="0" w:color="auto"/>
                <w:right w:val="none" w:sz="0" w:space="0" w:color="auto"/>
              </w:divBdr>
            </w:div>
            <w:div w:id="415636421">
              <w:marLeft w:val="0"/>
              <w:marRight w:val="0"/>
              <w:marTop w:val="0"/>
              <w:marBottom w:val="0"/>
              <w:divBdr>
                <w:top w:val="none" w:sz="0" w:space="0" w:color="auto"/>
                <w:left w:val="none" w:sz="0" w:space="0" w:color="auto"/>
                <w:bottom w:val="none" w:sz="0" w:space="0" w:color="auto"/>
                <w:right w:val="none" w:sz="0" w:space="0" w:color="auto"/>
              </w:divBdr>
            </w:div>
          </w:divsChild>
        </w:div>
        <w:div w:id="1999457803">
          <w:marLeft w:val="0"/>
          <w:marRight w:val="0"/>
          <w:marTop w:val="0"/>
          <w:marBottom w:val="0"/>
          <w:divBdr>
            <w:top w:val="none" w:sz="0" w:space="0" w:color="auto"/>
            <w:left w:val="none" w:sz="0" w:space="0" w:color="auto"/>
            <w:bottom w:val="none" w:sz="0" w:space="0" w:color="auto"/>
            <w:right w:val="none" w:sz="0" w:space="0" w:color="auto"/>
          </w:divBdr>
          <w:divsChild>
            <w:div w:id="1713068101">
              <w:marLeft w:val="0"/>
              <w:marRight w:val="0"/>
              <w:marTop w:val="0"/>
              <w:marBottom w:val="0"/>
              <w:divBdr>
                <w:top w:val="none" w:sz="0" w:space="0" w:color="auto"/>
                <w:left w:val="none" w:sz="0" w:space="0" w:color="auto"/>
                <w:bottom w:val="none" w:sz="0" w:space="0" w:color="auto"/>
                <w:right w:val="none" w:sz="0" w:space="0" w:color="auto"/>
              </w:divBdr>
            </w:div>
          </w:divsChild>
        </w:div>
        <w:div w:id="1195968611">
          <w:marLeft w:val="0"/>
          <w:marRight w:val="0"/>
          <w:marTop w:val="0"/>
          <w:marBottom w:val="0"/>
          <w:divBdr>
            <w:top w:val="none" w:sz="0" w:space="0" w:color="auto"/>
            <w:left w:val="none" w:sz="0" w:space="0" w:color="auto"/>
            <w:bottom w:val="none" w:sz="0" w:space="0" w:color="auto"/>
            <w:right w:val="none" w:sz="0" w:space="0" w:color="auto"/>
          </w:divBdr>
          <w:divsChild>
            <w:div w:id="236717278">
              <w:marLeft w:val="0"/>
              <w:marRight w:val="0"/>
              <w:marTop w:val="0"/>
              <w:marBottom w:val="0"/>
              <w:divBdr>
                <w:top w:val="none" w:sz="0" w:space="0" w:color="auto"/>
                <w:left w:val="none" w:sz="0" w:space="0" w:color="auto"/>
                <w:bottom w:val="none" w:sz="0" w:space="0" w:color="auto"/>
                <w:right w:val="none" w:sz="0" w:space="0" w:color="auto"/>
              </w:divBdr>
            </w:div>
          </w:divsChild>
        </w:div>
        <w:div w:id="1613785833">
          <w:marLeft w:val="0"/>
          <w:marRight w:val="0"/>
          <w:marTop w:val="0"/>
          <w:marBottom w:val="0"/>
          <w:divBdr>
            <w:top w:val="none" w:sz="0" w:space="0" w:color="auto"/>
            <w:left w:val="none" w:sz="0" w:space="0" w:color="auto"/>
            <w:bottom w:val="none" w:sz="0" w:space="0" w:color="auto"/>
            <w:right w:val="none" w:sz="0" w:space="0" w:color="auto"/>
          </w:divBdr>
          <w:divsChild>
            <w:div w:id="1387026390">
              <w:marLeft w:val="0"/>
              <w:marRight w:val="0"/>
              <w:marTop w:val="0"/>
              <w:marBottom w:val="0"/>
              <w:divBdr>
                <w:top w:val="none" w:sz="0" w:space="0" w:color="auto"/>
                <w:left w:val="none" w:sz="0" w:space="0" w:color="auto"/>
                <w:bottom w:val="none" w:sz="0" w:space="0" w:color="auto"/>
                <w:right w:val="none" w:sz="0" w:space="0" w:color="auto"/>
              </w:divBdr>
            </w:div>
          </w:divsChild>
        </w:div>
        <w:div w:id="1513640384">
          <w:marLeft w:val="0"/>
          <w:marRight w:val="0"/>
          <w:marTop w:val="0"/>
          <w:marBottom w:val="0"/>
          <w:divBdr>
            <w:top w:val="none" w:sz="0" w:space="0" w:color="auto"/>
            <w:left w:val="none" w:sz="0" w:space="0" w:color="auto"/>
            <w:bottom w:val="none" w:sz="0" w:space="0" w:color="auto"/>
            <w:right w:val="none" w:sz="0" w:space="0" w:color="auto"/>
          </w:divBdr>
          <w:divsChild>
            <w:div w:id="588386831">
              <w:marLeft w:val="0"/>
              <w:marRight w:val="0"/>
              <w:marTop w:val="0"/>
              <w:marBottom w:val="0"/>
              <w:divBdr>
                <w:top w:val="none" w:sz="0" w:space="0" w:color="auto"/>
                <w:left w:val="none" w:sz="0" w:space="0" w:color="auto"/>
                <w:bottom w:val="none" w:sz="0" w:space="0" w:color="auto"/>
                <w:right w:val="none" w:sz="0" w:space="0" w:color="auto"/>
              </w:divBdr>
            </w:div>
          </w:divsChild>
        </w:div>
        <w:div w:id="1828476627">
          <w:marLeft w:val="0"/>
          <w:marRight w:val="0"/>
          <w:marTop w:val="0"/>
          <w:marBottom w:val="0"/>
          <w:divBdr>
            <w:top w:val="none" w:sz="0" w:space="0" w:color="auto"/>
            <w:left w:val="none" w:sz="0" w:space="0" w:color="auto"/>
            <w:bottom w:val="none" w:sz="0" w:space="0" w:color="auto"/>
            <w:right w:val="none" w:sz="0" w:space="0" w:color="auto"/>
          </w:divBdr>
          <w:divsChild>
            <w:div w:id="1692561375">
              <w:marLeft w:val="0"/>
              <w:marRight w:val="0"/>
              <w:marTop w:val="0"/>
              <w:marBottom w:val="0"/>
              <w:divBdr>
                <w:top w:val="none" w:sz="0" w:space="0" w:color="auto"/>
                <w:left w:val="none" w:sz="0" w:space="0" w:color="auto"/>
                <w:bottom w:val="none" w:sz="0" w:space="0" w:color="auto"/>
                <w:right w:val="none" w:sz="0" w:space="0" w:color="auto"/>
              </w:divBdr>
            </w:div>
          </w:divsChild>
        </w:div>
        <w:div w:id="1778023044">
          <w:marLeft w:val="0"/>
          <w:marRight w:val="0"/>
          <w:marTop w:val="0"/>
          <w:marBottom w:val="0"/>
          <w:divBdr>
            <w:top w:val="none" w:sz="0" w:space="0" w:color="auto"/>
            <w:left w:val="none" w:sz="0" w:space="0" w:color="auto"/>
            <w:bottom w:val="none" w:sz="0" w:space="0" w:color="auto"/>
            <w:right w:val="none" w:sz="0" w:space="0" w:color="auto"/>
          </w:divBdr>
          <w:divsChild>
            <w:div w:id="152141045">
              <w:marLeft w:val="0"/>
              <w:marRight w:val="0"/>
              <w:marTop w:val="0"/>
              <w:marBottom w:val="0"/>
              <w:divBdr>
                <w:top w:val="none" w:sz="0" w:space="0" w:color="auto"/>
                <w:left w:val="none" w:sz="0" w:space="0" w:color="auto"/>
                <w:bottom w:val="none" w:sz="0" w:space="0" w:color="auto"/>
                <w:right w:val="none" w:sz="0" w:space="0" w:color="auto"/>
              </w:divBdr>
            </w:div>
          </w:divsChild>
        </w:div>
        <w:div w:id="866403887">
          <w:marLeft w:val="0"/>
          <w:marRight w:val="0"/>
          <w:marTop w:val="0"/>
          <w:marBottom w:val="0"/>
          <w:divBdr>
            <w:top w:val="none" w:sz="0" w:space="0" w:color="auto"/>
            <w:left w:val="none" w:sz="0" w:space="0" w:color="auto"/>
            <w:bottom w:val="none" w:sz="0" w:space="0" w:color="auto"/>
            <w:right w:val="none" w:sz="0" w:space="0" w:color="auto"/>
          </w:divBdr>
          <w:divsChild>
            <w:div w:id="942035294">
              <w:marLeft w:val="0"/>
              <w:marRight w:val="0"/>
              <w:marTop w:val="0"/>
              <w:marBottom w:val="0"/>
              <w:divBdr>
                <w:top w:val="none" w:sz="0" w:space="0" w:color="auto"/>
                <w:left w:val="none" w:sz="0" w:space="0" w:color="auto"/>
                <w:bottom w:val="none" w:sz="0" w:space="0" w:color="auto"/>
                <w:right w:val="none" w:sz="0" w:space="0" w:color="auto"/>
              </w:divBdr>
            </w:div>
          </w:divsChild>
        </w:div>
        <w:div w:id="1686856926">
          <w:marLeft w:val="0"/>
          <w:marRight w:val="0"/>
          <w:marTop w:val="0"/>
          <w:marBottom w:val="0"/>
          <w:divBdr>
            <w:top w:val="none" w:sz="0" w:space="0" w:color="auto"/>
            <w:left w:val="none" w:sz="0" w:space="0" w:color="auto"/>
            <w:bottom w:val="none" w:sz="0" w:space="0" w:color="auto"/>
            <w:right w:val="none" w:sz="0" w:space="0" w:color="auto"/>
          </w:divBdr>
          <w:divsChild>
            <w:div w:id="340670737">
              <w:marLeft w:val="0"/>
              <w:marRight w:val="0"/>
              <w:marTop w:val="0"/>
              <w:marBottom w:val="0"/>
              <w:divBdr>
                <w:top w:val="none" w:sz="0" w:space="0" w:color="auto"/>
                <w:left w:val="none" w:sz="0" w:space="0" w:color="auto"/>
                <w:bottom w:val="none" w:sz="0" w:space="0" w:color="auto"/>
                <w:right w:val="none" w:sz="0" w:space="0" w:color="auto"/>
              </w:divBdr>
            </w:div>
          </w:divsChild>
        </w:div>
        <w:div w:id="285477954">
          <w:marLeft w:val="0"/>
          <w:marRight w:val="0"/>
          <w:marTop w:val="0"/>
          <w:marBottom w:val="0"/>
          <w:divBdr>
            <w:top w:val="none" w:sz="0" w:space="0" w:color="auto"/>
            <w:left w:val="none" w:sz="0" w:space="0" w:color="auto"/>
            <w:bottom w:val="none" w:sz="0" w:space="0" w:color="auto"/>
            <w:right w:val="none" w:sz="0" w:space="0" w:color="auto"/>
          </w:divBdr>
          <w:divsChild>
            <w:div w:id="928343181">
              <w:marLeft w:val="0"/>
              <w:marRight w:val="0"/>
              <w:marTop w:val="0"/>
              <w:marBottom w:val="0"/>
              <w:divBdr>
                <w:top w:val="none" w:sz="0" w:space="0" w:color="auto"/>
                <w:left w:val="none" w:sz="0" w:space="0" w:color="auto"/>
                <w:bottom w:val="none" w:sz="0" w:space="0" w:color="auto"/>
                <w:right w:val="none" w:sz="0" w:space="0" w:color="auto"/>
              </w:divBdr>
            </w:div>
          </w:divsChild>
        </w:div>
        <w:div w:id="1396392863">
          <w:marLeft w:val="0"/>
          <w:marRight w:val="0"/>
          <w:marTop w:val="0"/>
          <w:marBottom w:val="0"/>
          <w:divBdr>
            <w:top w:val="none" w:sz="0" w:space="0" w:color="auto"/>
            <w:left w:val="none" w:sz="0" w:space="0" w:color="auto"/>
            <w:bottom w:val="none" w:sz="0" w:space="0" w:color="auto"/>
            <w:right w:val="none" w:sz="0" w:space="0" w:color="auto"/>
          </w:divBdr>
          <w:divsChild>
            <w:div w:id="1446847963">
              <w:marLeft w:val="0"/>
              <w:marRight w:val="0"/>
              <w:marTop w:val="0"/>
              <w:marBottom w:val="0"/>
              <w:divBdr>
                <w:top w:val="none" w:sz="0" w:space="0" w:color="auto"/>
                <w:left w:val="none" w:sz="0" w:space="0" w:color="auto"/>
                <w:bottom w:val="none" w:sz="0" w:space="0" w:color="auto"/>
                <w:right w:val="none" w:sz="0" w:space="0" w:color="auto"/>
              </w:divBdr>
            </w:div>
          </w:divsChild>
        </w:div>
        <w:div w:id="318970352">
          <w:marLeft w:val="0"/>
          <w:marRight w:val="0"/>
          <w:marTop w:val="0"/>
          <w:marBottom w:val="0"/>
          <w:divBdr>
            <w:top w:val="none" w:sz="0" w:space="0" w:color="auto"/>
            <w:left w:val="none" w:sz="0" w:space="0" w:color="auto"/>
            <w:bottom w:val="none" w:sz="0" w:space="0" w:color="auto"/>
            <w:right w:val="none" w:sz="0" w:space="0" w:color="auto"/>
          </w:divBdr>
          <w:divsChild>
            <w:div w:id="1371765492">
              <w:marLeft w:val="0"/>
              <w:marRight w:val="0"/>
              <w:marTop w:val="0"/>
              <w:marBottom w:val="0"/>
              <w:divBdr>
                <w:top w:val="none" w:sz="0" w:space="0" w:color="auto"/>
                <w:left w:val="none" w:sz="0" w:space="0" w:color="auto"/>
                <w:bottom w:val="none" w:sz="0" w:space="0" w:color="auto"/>
                <w:right w:val="none" w:sz="0" w:space="0" w:color="auto"/>
              </w:divBdr>
            </w:div>
          </w:divsChild>
        </w:div>
        <w:div w:id="1860005211">
          <w:marLeft w:val="0"/>
          <w:marRight w:val="0"/>
          <w:marTop w:val="0"/>
          <w:marBottom w:val="0"/>
          <w:divBdr>
            <w:top w:val="none" w:sz="0" w:space="0" w:color="auto"/>
            <w:left w:val="none" w:sz="0" w:space="0" w:color="auto"/>
            <w:bottom w:val="none" w:sz="0" w:space="0" w:color="auto"/>
            <w:right w:val="none" w:sz="0" w:space="0" w:color="auto"/>
          </w:divBdr>
          <w:divsChild>
            <w:div w:id="401217387">
              <w:marLeft w:val="0"/>
              <w:marRight w:val="0"/>
              <w:marTop w:val="0"/>
              <w:marBottom w:val="0"/>
              <w:divBdr>
                <w:top w:val="none" w:sz="0" w:space="0" w:color="auto"/>
                <w:left w:val="none" w:sz="0" w:space="0" w:color="auto"/>
                <w:bottom w:val="none" w:sz="0" w:space="0" w:color="auto"/>
                <w:right w:val="none" w:sz="0" w:space="0" w:color="auto"/>
              </w:divBdr>
            </w:div>
          </w:divsChild>
        </w:div>
        <w:div w:id="1599824305">
          <w:marLeft w:val="0"/>
          <w:marRight w:val="0"/>
          <w:marTop w:val="0"/>
          <w:marBottom w:val="0"/>
          <w:divBdr>
            <w:top w:val="none" w:sz="0" w:space="0" w:color="auto"/>
            <w:left w:val="none" w:sz="0" w:space="0" w:color="auto"/>
            <w:bottom w:val="none" w:sz="0" w:space="0" w:color="auto"/>
            <w:right w:val="none" w:sz="0" w:space="0" w:color="auto"/>
          </w:divBdr>
          <w:divsChild>
            <w:div w:id="1953241866">
              <w:marLeft w:val="0"/>
              <w:marRight w:val="0"/>
              <w:marTop w:val="0"/>
              <w:marBottom w:val="0"/>
              <w:divBdr>
                <w:top w:val="none" w:sz="0" w:space="0" w:color="auto"/>
                <w:left w:val="none" w:sz="0" w:space="0" w:color="auto"/>
                <w:bottom w:val="none" w:sz="0" w:space="0" w:color="auto"/>
                <w:right w:val="none" w:sz="0" w:space="0" w:color="auto"/>
              </w:divBdr>
            </w:div>
          </w:divsChild>
        </w:div>
        <w:div w:id="215047662">
          <w:marLeft w:val="0"/>
          <w:marRight w:val="0"/>
          <w:marTop w:val="0"/>
          <w:marBottom w:val="0"/>
          <w:divBdr>
            <w:top w:val="none" w:sz="0" w:space="0" w:color="auto"/>
            <w:left w:val="none" w:sz="0" w:space="0" w:color="auto"/>
            <w:bottom w:val="none" w:sz="0" w:space="0" w:color="auto"/>
            <w:right w:val="none" w:sz="0" w:space="0" w:color="auto"/>
          </w:divBdr>
          <w:divsChild>
            <w:div w:id="2019578112">
              <w:marLeft w:val="0"/>
              <w:marRight w:val="0"/>
              <w:marTop w:val="0"/>
              <w:marBottom w:val="0"/>
              <w:divBdr>
                <w:top w:val="none" w:sz="0" w:space="0" w:color="auto"/>
                <w:left w:val="none" w:sz="0" w:space="0" w:color="auto"/>
                <w:bottom w:val="none" w:sz="0" w:space="0" w:color="auto"/>
                <w:right w:val="none" w:sz="0" w:space="0" w:color="auto"/>
              </w:divBdr>
            </w:div>
          </w:divsChild>
        </w:div>
        <w:div w:id="19353805">
          <w:marLeft w:val="0"/>
          <w:marRight w:val="0"/>
          <w:marTop w:val="0"/>
          <w:marBottom w:val="0"/>
          <w:divBdr>
            <w:top w:val="none" w:sz="0" w:space="0" w:color="auto"/>
            <w:left w:val="none" w:sz="0" w:space="0" w:color="auto"/>
            <w:bottom w:val="none" w:sz="0" w:space="0" w:color="auto"/>
            <w:right w:val="none" w:sz="0" w:space="0" w:color="auto"/>
          </w:divBdr>
          <w:divsChild>
            <w:div w:id="536817667">
              <w:marLeft w:val="0"/>
              <w:marRight w:val="0"/>
              <w:marTop w:val="0"/>
              <w:marBottom w:val="0"/>
              <w:divBdr>
                <w:top w:val="none" w:sz="0" w:space="0" w:color="auto"/>
                <w:left w:val="none" w:sz="0" w:space="0" w:color="auto"/>
                <w:bottom w:val="none" w:sz="0" w:space="0" w:color="auto"/>
                <w:right w:val="none" w:sz="0" w:space="0" w:color="auto"/>
              </w:divBdr>
            </w:div>
          </w:divsChild>
        </w:div>
        <w:div w:id="1608385737">
          <w:marLeft w:val="0"/>
          <w:marRight w:val="0"/>
          <w:marTop w:val="0"/>
          <w:marBottom w:val="0"/>
          <w:divBdr>
            <w:top w:val="none" w:sz="0" w:space="0" w:color="auto"/>
            <w:left w:val="none" w:sz="0" w:space="0" w:color="auto"/>
            <w:bottom w:val="none" w:sz="0" w:space="0" w:color="auto"/>
            <w:right w:val="none" w:sz="0" w:space="0" w:color="auto"/>
          </w:divBdr>
          <w:divsChild>
            <w:div w:id="1569460751">
              <w:marLeft w:val="0"/>
              <w:marRight w:val="0"/>
              <w:marTop w:val="0"/>
              <w:marBottom w:val="0"/>
              <w:divBdr>
                <w:top w:val="none" w:sz="0" w:space="0" w:color="auto"/>
                <w:left w:val="none" w:sz="0" w:space="0" w:color="auto"/>
                <w:bottom w:val="none" w:sz="0" w:space="0" w:color="auto"/>
                <w:right w:val="none" w:sz="0" w:space="0" w:color="auto"/>
              </w:divBdr>
            </w:div>
          </w:divsChild>
        </w:div>
        <w:div w:id="364868166">
          <w:marLeft w:val="0"/>
          <w:marRight w:val="0"/>
          <w:marTop w:val="0"/>
          <w:marBottom w:val="0"/>
          <w:divBdr>
            <w:top w:val="none" w:sz="0" w:space="0" w:color="auto"/>
            <w:left w:val="none" w:sz="0" w:space="0" w:color="auto"/>
            <w:bottom w:val="none" w:sz="0" w:space="0" w:color="auto"/>
            <w:right w:val="none" w:sz="0" w:space="0" w:color="auto"/>
          </w:divBdr>
          <w:divsChild>
            <w:div w:id="763109445">
              <w:marLeft w:val="0"/>
              <w:marRight w:val="0"/>
              <w:marTop w:val="0"/>
              <w:marBottom w:val="0"/>
              <w:divBdr>
                <w:top w:val="none" w:sz="0" w:space="0" w:color="auto"/>
                <w:left w:val="none" w:sz="0" w:space="0" w:color="auto"/>
                <w:bottom w:val="none" w:sz="0" w:space="0" w:color="auto"/>
                <w:right w:val="none" w:sz="0" w:space="0" w:color="auto"/>
              </w:divBdr>
            </w:div>
          </w:divsChild>
        </w:div>
        <w:div w:id="166405187">
          <w:marLeft w:val="0"/>
          <w:marRight w:val="0"/>
          <w:marTop w:val="0"/>
          <w:marBottom w:val="0"/>
          <w:divBdr>
            <w:top w:val="none" w:sz="0" w:space="0" w:color="auto"/>
            <w:left w:val="none" w:sz="0" w:space="0" w:color="auto"/>
            <w:bottom w:val="none" w:sz="0" w:space="0" w:color="auto"/>
            <w:right w:val="none" w:sz="0" w:space="0" w:color="auto"/>
          </w:divBdr>
          <w:divsChild>
            <w:div w:id="370308188">
              <w:marLeft w:val="0"/>
              <w:marRight w:val="0"/>
              <w:marTop w:val="0"/>
              <w:marBottom w:val="0"/>
              <w:divBdr>
                <w:top w:val="none" w:sz="0" w:space="0" w:color="auto"/>
                <w:left w:val="none" w:sz="0" w:space="0" w:color="auto"/>
                <w:bottom w:val="none" w:sz="0" w:space="0" w:color="auto"/>
                <w:right w:val="none" w:sz="0" w:space="0" w:color="auto"/>
              </w:divBdr>
            </w:div>
          </w:divsChild>
        </w:div>
        <w:div w:id="591012369">
          <w:marLeft w:val="0"/>
          <w:marRight w:val="0"/>
          <w:marTop w:val="0"/>
          <w:marBottom w:val="0"/>
          <w:divBdr>
            <w:top w:val="none" w:sz="0" w:space="0" w:color="auto"/>
            <w:left w:val="none" w:sz="0" w:space="0" w:color="auto"/>
            <w:bottom w:val="none" w:sz="0" w:space="0" w:color="auto"/>
            <w:right w:val="none" w:sz="0" w:space="0" w:color="auto"/>
          </w:divBdr>
          <w:divsChild>
            <w:div w:id="990209139">
              <w:marLeft w:val="0"/>
              <w:marRight w:val="0"/>
              <w:marTop w:val="0"/>
              <w:marBottom w:val="0"/>
              <w:divBdr>
                <w:top w:val="none" w:sz="0" w:space="0" w:color="auto"/>
                <w:left w:val="none" w:sz="0" w:space="0" w:color="auto"/>
                <w:bottom w:val="none" w:sz="0" w:space="0" w:color="auto"/>
                <w:right w:val="none" w:sz="0" w:space="0" w:color="auto"/>
              </w:divBdr>
            </w:div>
          </w:divsChild>
        </w:div>
        <w:div w:id="574166554">
          <w:marLeft w:val="0"/>
          <w:marRight w:val="0"/>
          <w:marTop w:val="0"/>
          <w:marBottom w:val="0"/>
          <w:divBdr>
            <w:top w:val="none" w:sz="0" w:space="0" w:color="auto"/>
            <w:left w:val="none" w:sz="0" w:space="0" w:color="auto"/>
            <w:bottom w:val="none" w:sz="0" w:space="0" w:color="auto"/>
            <w:right w:val="none" w:sz="0" w:space="0" w:color="auto"/>
          </w:divBdr>
          <w:divsChild>
            <w:div w:id="2092387414">
              <w:marLeft w:val="0"/>
              <w:marRight w:val="0"/>
              <w:marTop w:val="0"/>
              <w:marBottom w:val="0"/>
              <w:divBdr>
                <w:top w:val="none" w:sz="0" w:space="0" w:color="auto"/>
                <w:left w:val="none" w:sz="0" w:space="0" w:color="auto"/>
                <w:bottom w:val="none" w:sz="0" w:space="0" w:color="auto"/>
                <w:right w:val="none" w:sz="0" w:space="0" w:color="auto"/>
              </w:divBdr>
            </w:div>
          </w:divsChild>
        </w:div>
        <w:div w:id="234898768">
          <w:marLeft w:val="0"/>
          <w:marRight w:val="0"/>
          <w:marTop w:val="0"/>
          <w:marBottom w:val="0"/>
          <w:divBdr>
            <w:top w:val="none" w:sz="0" w:space="0" w:color="auto"/>
            <w:left w:val="none" w:sz="0" w:space="0" w:color="auto"/>
            <w:bottom w:val="none" w:sz="0" w:space="0" w:color="auto"/>
            <w:right w:val="none" w:sz="0" w:space="0" w:color="auto"/>
          </w:divBdr>
          <w:divsChild>
            <w:div w:id="30810755">
              <w:marLeft w:val="0"/>
              <w:marRight w:val="0"/>
              <w:marTop w:val="0"/>
              <w:marBottom w:val="0"/>
              <w:divBdr>
                <w:top w:val="none" w:sz="0" w:space="0" w:color="auto"/>
                <w:left w:val="none" w:sz="0" w:space="0" w:color="auto"/>
                <w:bottom w:val="none" w:sz="0" w:space="0" w:color="auto"/>
                <w:right w:val="none" w:sz="0" w:space="0" w:color="auto"/>
              </w:divBdr>
            </w:div>
          </w:divsChild>
        </w:div>
        <w:div w:id="1466894965">
          <w:marLeft w:val="0"/>
          <w:marRight w:val="0"/>
          <w:marTop w:val="0"/>
          <w:marBottom w:val="0"/>
          <w:divBdr>
            <w:top w:val="none" w:sz="0" w:space="0" w:color="auto"/>
            <w:left w:val="none" w:sz="0" w:space="0" w:color="auto"/>
            <w:bottom w:val="none" w:sz="0" w:space="0" w:color="auto"/>
            <w:right w:val="none" w:sz="0" w:space="0" w:color="auto"/>
          </w:divBdr>
          <w:divsChild>
            <w:div w:id="974680164">
              <w:marLeft w:val="0"/>
              <w:marRight w:val="0"/>
              <w:marTop w:val="0"/>
              <w:marBottom w:val="0"/>
              <w:divBdr>
                <w:top w:val="none" w:sz="0" w:space="0" w:color="auto"/>
                <w:left w:val="none" w:sz="0" w:space="0" w:color="auto"/>
                <w:bottom w:val="none" w:sz="0" w:space="0" w:color="auto"/>
                <w:right w:val="none" w:sz="0" w:space="0" w:color="auto"/>
              </w:divBdr>
            </w:div>
          </w:divsChild>
        </w:div>
        <w:div w:id="393046048">
          <w:marLeft w:val="0"/>
          <w:marRight w:val="0"/>
          <w:marTop w:val="0"/>
          <w:marBottom w:val="0"/>
          <w:divBdr>
            <w:top w:val="none" w:sz="0" w:space="0" w:color="auto"/>
            <w:left w:val="none" w:sz="0" w:space="0" w:color="auto"/>
            <w:bottom w:val="none" w:sz="0" w:space="0" w:color="auto"/>
            <w:right w:val="none" w:sz="0" w:space="0" w:color="auto"/>
          </w:divBdr>
          <w:divsChild>
            <w:div w:id="1098602749">
              <w:marLeft w:val="0"/>
              <w:marRight w:val="0"/>
              <w:marTop w:val="0"/>
              <w:marBottom w:val="0"/>
              <w:divBdr>
                <w:top w:val="none" w:sz="0" w:space="0" w:color="auto"/>
                <w:left w:val="none" w:sz="0" w:space="0" w:color="auto"/>
                <w:bottom w:val="none" w:sz="0" w:space="0" w:color="auto"/>
                <w:right w:val="none" w:sz="0" w:space="0" w:color="auto"/>
              </w:divBdr>
            </w:div>
          </w:divsChild>
        </w:div>
        <w:div w:id="25639735">
          <w:marLeft w:val="0"/>
          <w:marRight w:val="0"/>
          <w:marTop w:val="0"/>
          <w:marBottom w:val="0"/>
          <w:divBdr>
            <w:top w:val="none" w:sz="0" w:space="0" w:color="auto"/>
            <w:left w:val="none" w:sz="0" w:space="0" w:color="auto"/>
            <w:bottom w:val="none" w:sz="0" w:space="0" w:color="auto"/>
            <w:right w:val="none" w:sz="0" w:space="0" w:color="auto"/>
          </w:divBdr>
          <w:divsChild>
            <w:div w:id="1161699444">
              <w:marLeft w:val="0"/>
              <w:marRight w:val="0"/>
              <w:marTop w:val="0"/>
              <w:marBottom w:val="0"/>
              <w:divBdr>
                <w:top w:val="none" w:sz="0" w:space="0" w:color="auto"/>
                <w:left w:val="none" w:sz="0" w:space="0" w:color="auto"/>
                <w:bottom w:val="none" w:sz="0" w:space="0" w:color="auto"/>
                <w:right w:val="none" w:sz="0" w:space="0" w:color="auto"/>
              </w:divBdr>
            </w:div>
          </w:divsChild>
        </w:div>
        <w:div w:id="1314260528">
          <w:marLeft w:val="0"/>
          <w:marRight w:val="0"/>
          <w:marTop w:val="0"/>
          <w:marBottom w:val="0"/>
          <w:divBdr>
            <w:top w:val="none" w:sz="0" w:space="0" w:color="auto"/>
            <w:left w:val="none" w:sz="0" w:space="0" w:color="auto"/>
            <w:bottom w:val="none" w:sz="0" w:space="0" w:color="auto"/>
            <w:right w:val="none" w:sz="0" w:space="0" w:color="auto"/>
          </w:divBdr>
          <w:divsChild>
            <w:div w:id="1286473237">
              <w:marLeft w:val="0"/>
              <w:marRight w:val="0"/>
              <w:marTop w:val="0"/>
              <w:marBottom w:val="0"/>
              <w:divBdr>
                <w:top w:val="none" w:sz="0" w:space="0" w:color="auto"/>
                <w:left w:val="none" w:sz="0" w:space="0" w:color="auto"/>
                <w:bottom w:val="none" w:sz="0" w:space="0" w:color="auto"/>
                <w:right w:val="none" w:sz="0" w:space="0" w:color="auto"/>
              </w:divBdr>
            </w:div>
          </w:divsChild>
        </w:div>
        <w:div w:id="1200121550">
          <w:marLeft w:val="0"/>
          <w:marRight w:val="0"/>
          <w:marTop w:val="0"/>
          <w:marBottom w:val="0"/>
          <w:divBdr>
            <w:top w:val="none" w:sz="0" w:space="0" w:color="auto"/>
            <w:left w:val="none" w:sz="0" w:space="0" w:color="auto"/>
            <w:bottom w:val="none" w:sz="0" w:space="0" w:color="auto"/>
            <w:right w:val="none" w:sz="0" w:space="0" w:color="auto"/>
          </w:divBdr>
          <w:divsChild>
            <w:div w:id="1964385571">
              <w:marLeft w:val="0"/>
              <w:marRight w:val="0"/>
              <w:marTop w:val="0"/>
              <w:marBottom w:val="0"/>
              <w:divBdr>
                <w:top w:val="none" w:sz="0" w:space="0" w:color="auto"/>
                <w:left w:val="none" w:sz="0" w:space="0" w:color="auto"/>
                <w:bottom w:val="none" w:sz="0" w:space="0" w:color="auto"/>
                <w:right w:val="none" w:sz="0" w:space="0" w:color="auto"/>
              </w:divBdr>
            </w:div>
          </w:divsChild>
        </w:div>
        <w:div w:id="1810438278">
          <w:marLeft w:val="0"/>
          <w:marRight w:val="0"/>
          <w:marTop w:val="0"/>
          <w:marBottom w:val="0"/>
          <w:divBdr>
            <w:top w:val="none" w:sz="0" w:space="0" w:color="auto"/>
            <w:left w:val="none" w:sz="0" w:space="0" w:color="auto"/>
            <w:bottom w:val="none" w:sz="0" w:space="0" w:color="auto"/>
            <w:right w:val="none" w:sz="0" w:space="0" w:color="auto"/>
          </w:divBdr>
          <w:divsChild>
            <w:div w:id="20715858">
              <w:marLeft w:val="0"/>
              <w:marRight w:val="0"/>
              <w:marTop w:val="0"/>
              <w:marBottom w:val="0"/>
              <w:divBdr>
                <w:top w:val="none" w:sz="0" w:space="0" w:color="auto"/>
                <w:left w:val="none" w:sz="0" w:space="0" w:color="auto"/>
                <w:bottom w:val="none" w:sz="0" w:space="0" w:color="auto"/>
                <w:right w:val="none" w:sz="0" w:space="0" w:color="auto"/>
              </w:divBdr>
            </w:div>
          </w:divsChild>
        </w:div>
        <w:div w:id="1227834631">
          <w:marLeft w:val="0"/>
          <w:marRight w:val="0"/>
          <w:marTop w:val="0"/>
          <w:marBottom w:val="0"/>
          <w:divBdr>
            <w:top w:val="none" w:sz="0" w:space="0" w:color="auto"/>
            <w:left w:val="none" w:sz="0" w:space="0" w:color="auto"/>
            <w:bottom w:val="none" w:sz="0" w:space="0" w:color="auto"/>
            <w:right w:val="none" w:sz="0" w:space="0" w:color="auto"/>
          </w:divBdr>
          <w:divsChild>
            <w:div w:id="1241720100">
              <w:marLeft w:val="0"/>
              <w:marRight w:val="0"/>
              <w:marTop w:val="0"/>
              <w:marBottom w:val="0"/>
              <w:divBdr>
                <w:top w:val="none" w:sz="0" w:space="0" w:color="auto"/>
                <w:left w:val="none" w:sz="0" w:space="0" w:color="auto"/>
                <w:bottom w:val="none" w:sz="0" w:space="0" w:color="auto"/>
                <w:right w:val="none" w:sz="0" w:space="0" w:color="auto"/>
              </w:divBdr>
            </w:div>
            <w:div w:id="1801878115">
              <w:marLeft w:val="0"/>
              <w:marRight w:val="0"/>
              <w:marTop w:val="0"/>
              <w:marBottom w:val="0"/>
              <w:divBdr>
                <w:top w:val="none" w:sz="0" w:space="0" w:color="auto"/>
                <w:left w:val="none" w:sz="0" w:space="0" w:color="auto"/>
                <w:bottom w:val="none" w:sz="0" w:space="0" w:color="auto"/>
                <w:right w:val="none" w:sz="0" w:space="0" w:color="auto"/>
              </w:divBdr>
            </w:div>
          </w:divsChild>
        </w:div>
        <w:div w:id="878324113">
          <w:marLeft w:val="0"/>
          <w:marRight w:val="0"/>
          <w:marTop w:val="0"/>
          <w:marBottom w:val="0"/>
          <w:divBdr>
            <w:top w:val="none" w:sz="0" w:space="0" w:color="auto"/>
            <w:left w:val="none" w:sz="0" w:space="0" w:color="auto"/>
            <w:bottom w:val="none" w:sz="0" w:space="0" w:color="auto"/>
            <w:right w:val="none" w:sz="0" w:space="0" w:color="auto"/>
          </w:divBdr>
          <w:divsChild>
            <w:div w:id="692808789">
              <w:marLeft w:val="0"/>
              <w:marRight w:val="0"/>
              <w:marTop w:val="0"/>
              <w:marBottom w:val="0"/>
              <w:divBdr>
                <w:top w:val="none" w:sz="0" w:space="0" w:color="auto"/>
                <w:left w:val="none" w:sz="0" w:space="0" w:color="auto"/>
                <w:bottom w:val="none" w:sz="0" w:space="0" w:color="auto"/>
                <w:right w:val="none" w:sz="0" w:space="0" w:color="auto"/>
              </w:divBdr>
            </w:div>
          </w:divsChild>
        </w:div>
        <w:div w:id="551430872">
          <w:marLeft w:val="0"/>
          <w:marRight w:val="0"/>
          <w:marTop w:val="0"/>
          <w:marBottom w:val="0"/>
          <w:divBdr>
            <w:top w:val="none" w:sz="0" w:space="0" w:color="auto"/>
            <w:left w:val="none" w:sz="0" w:space="0" w:color="auto"/>
            <w:bottom w:val="none" w:sz="0" w:space="0" w:color="auto"/>
            <w:right w:val="none" w:sz="0" w:space="0" w:color="auto"/>
          </w:divBdr>
          <w:divsChild>
            <w:div w:id="1091584126">
              <w:marLeft w:val="0"/>
              <w:marRight w:val="0"/>
              <w:marTop w:val="0"/>
              <w:marBottom w:val="0"/>
              <w:divBdr>
                <w:top w:val="none" w:sz="0" w:space="0" w:color="auto"/>
                <w:left w:val="none" w:sz="0" w:space="0" w:color="auto"/>
                <w:bottom w:val="none" w:sz="0" w:space="0" w:color="auto"/>
                <w:right w:val="none" w:sz="0" w:space="0" w:color="auto"/>
              </w:divBdr>
            </w:div>
            <w:div w:id="773013536">
              <w:marLeft w:val="0"/>
              <w:marRight w:val="0"/>
              <w:marTop w:val="0"/>
              <w:marBottom w:val="0"/>
              <w:divBdr>
                <w:top w:val="none" w:sz="0" w:space="0" w:color="auto"/>
                <w:left w:val="none" w:sz="0" w:space="0" w:color="auto"/>
                <w:bottom w:val="none" w:sz="0" w:space="0" w:color="auto"/>
                <w:right w:val="none" w:sz="0" w:space="0" w:color="auto"/>
              </w:divBdr>
            </w:div>
          </w:divsChild>
        </w:div>
        <w:div w:id="516694648">
          <w:marLeft w:val="0"/>
          <w:marRight w:val="0"/>
          <w:marTop w:val="0"/>
          <w:marBottom w:val="0"/>
          <w:divBdr>
            <w:top w:val="none" w:sz="0" w:space="0" w:color="auto"/>
            <w:left w:val="none" w:sz="0" w:space="0" w:color="auto"/>
            <w:bottom w:val="none" w:sz="0" w:space="0" w:color="auto"/>
            <w:right w:val="none" w:sz="0" w:space="0" w:color="auto"/>
          </w:divBdr>
          <w:divsChild>
            <w:div w:id="903179726">
              <w:marLeft w:val="0"/>
              <w:marRight w:val="0"/>
              <w:marTop w:val="0"/>
              <w:marBottom w:val="0"/>
              <w:divBdr>
                <w:top w:val="none" w:sz="0" w:space="0" w:color="auto"/>
                <w:left w:val="none" w:sz="0" w:space="0" w:color="auto"/>
                <w:bottom w:val="none" w:sz="0" w:space="0" w:color="auto"/>
                <w:right w:val="none" w:sz="0" w:space="0" w:color="auto"/>
              </w:divBdr>
            </w:div>
          </w:divsChild>
        </w:div>
        <w:div w:id="2037654958">
          <w:marLeft w:val="0"/>
          <w:marRight w:val="0"/>
          <w:marTop w:val="0"/>
          <w:marBottom w:val="0"/>
          <w:divBdr>
            <w:top w:val="none" w:sz="0" w:space="0" w:color="auto"/>
            <w:left w:val="none" w:sz="0" w:space="0" w:color="auto"/>
            <w:bottom w:val="none" w:sz="0" w:space="0" w:color="auto"/>
            <w:right w:val="none" w:sz="0" w:space="0" w:color="auto"/>
          </w:divBdr>
          <w:divsChild>
            <w:div w:id="1561597403">
              <w:marLeft w:val="0"/>
              <w:marRight w:val="0"/>
              <w:marTop w:val="0"/>
              <w:marBottom w:val="0"/>
              <w:divBdr>
                <w:top w:val="none" w:sz="0" w:space="0" w:color="auto"/>
                <w:left w:val="none" w:sz="0" w:space="0" w:color="auto"/>
                <w:bottom w:val="none" w:sz="0" w:space="0" w:color="auto"/>
                <w:right w:val="none" w:sz="0" w:space="0" w:color="auto"/>
              </w:divBdr>
            </w:div>
          </w:divsChild>
        </w:div>
        <w:div w:id="82453790">
          <w:marLeft w:val="0"/>
          <w:marRight w:val="0"/>
          <w:marTop w:val="0"/>
          <w:marBottom w:val="0"/>
          <w:divBdr>
            <w:top w:val="none" w:sz="0" w:space="0" w:color="auto"/>
            <w:left w:val="none" w:sz="0" w:space="0" w:color="auto"/>
            <w:bottom w:val="none" w:sz="0" w:space="0" w:color="auto"/>
            <w:right w:val="none" w:sz="0" w:space="0" w:color="auto"/>
          </w:divBdr>
          <w:divsChild>
            <w:div w:id="400375449">
              <w:marLeft w:val="0"/>
              <w:marRight w:val="0"/>
              <w:marTop w:val="0"/>
              <w:marBottom w:val="0"/>
              <w:divBdr>
                <w:top w:val="none" w:sz="0" w:space="0" w:color="auto"/>
                <w:left w:val="none" w:sz="0" w:space="0" w:color="auto"/>
                <w:bottom w:val="none" w:sz="0" w:space="0" w:color="auto"/>
                <w:right w:val="none" w:sz="0" w:space="0" w:color="auto"/>
              </w:divBdr>
            </w:div>
          </w:divsChild>
        </w:div>
        <w:div w:id="166866633">
          <w:marLeft w:val="0"/>
          <w:marRight w:val="0"/>
          <w:marTop w:val="0"/>
          <w:marBottom w:val="0"/>
          <w:divBdr>
            <w:top w:val="none" w:sz="0" w:space="0" w:color="auto"/>
            <w:left w:val="none" w:sz="0" w:space="0" w:color="auto"/>
            <w:bottom w:val="none" w:sz="0" w:space="0" w:color="auto"/>
            <w:right w:val="none" w:sz="0" w:space="0" w:color="auto"/>
          </w:divBdr>
          <w:divsChild>
            <w:div w:id="1952475260">
              <w:marLeft w:val="0"/>
              <w:marRight w:val="0"/>
              <w:marTop w:val="0"/>
              <w:marBottom w:val="0"/>
              <w:divBdr>
                <w:top w:val="none" w:sz="0" w:space="0" w:color="auto"/>
                <w:left w:val="none" w:sz="0" w:space="0" w:color="auto"/>
                <w:bottom w:val="none" w:sz="0" w:space="0" w:color="auto"/>
                <w:right w:val="none" w:sz="0" w:space="0" w:color="auto"/>
              </w:divBdr>
            </w:div>
          </w:divsChild>
        </w:div>
        <w:div w:id="1302268988">
          <w:marLeft w:val="0"/>
          <w:marRight w:val="0"/>
          <w:marTop w:val="0"/>
          <w:marBottom w:val="0"/>
          <w:divBdr>
            <w:top w:val="none" w:sz="0" w:space="0" w:color="auto"/>
            <w:left w:val="none" w:sz="0" w:space="0" w:color="auto"/>
            <w:bottom w:val="none" w:sz="0" w:space="0" w:color="auto"/>
            <w:right w:val="none" w:sz="0" w:space="0" w:color="auto"/>
          </w:divBdr>
          <w:divsChild>
            <w:div w:id="1914580897">
              <w:marLeft w:val="0"/>
              <w:marRight w:val="0"/>
              <w:marTop w:val="0"/>
              <w:marBottom w:val="0"/>
              <w:divBdr>
                <w:top w:val="none" w:sz="0" w:space="0" w:color="auto"/>
                <w:left w:val="none" w:sz="0" w:space="0" w:color="auto"/>
                <w:bottom w:val="none" w:sz="0" w:space="0" w:color="auto"/>
                <w:right w:val="none" w:sz="0" w:space="0" w:color="auto"/>
              </w:divBdr>
            </w:div>
          </w:divsChild>
        </w:div>
        <w:div w:id="774642611">
          <w:marLeft w:val="0"/>
          <w:marRight w:val="0"/>
          <w:marTop w:val="0"/>
          <w:marBottom w:val="0"/>
          <w:divBdr>
            <w:top w:val="none" w:sz="0" w:space="0" w:color="auto"/>
            <w:left w:val="none" w:sz="0" w:space="0" w:color="auto"/>
            <w:bottom w:val="none" w:sz="0" w:space="0" w:color="auto"/>
            <w:right w:val="none" w:sz="0" w:space="0" w:color="auto"/>
          </w:divBdr>
          <w:divsChild>
            <w:div w:id="2013797429">
              <w:marLeft w:val="0"/>
              <w:marRight w:val="0"/>
              <w:marTop w:val="0"/>
              <w:marBottom w:val="0"/>
              <w:divBdr>
                <w:top w:val="none" w:sz="0" w:space="0" w:color="auto"/>
                <w:left w:val="none" w:sz="0" w:space="0" w:color="auto"/>
                <w:bottom w:val="none" w:sz="0" w:space="0" w:color="auto"/>
                <w:right w:val="none" w:sz="0" w:space="0" w:color="auto"/>
              </w:divBdr>
            </w:div>
          </w:divsChild>
        </w:div>
        <w:div w:id="2068725181">
          <w:marLeft w:val="0"/>
          <w:marRight w:val="0"/>
          <w:marTop w:val="0"/>
          <w:marBottom w:val="0"/>
          <w:divBdr>
            <w:top w:val="none" w:sz="0" w:space="0" w:color="auto"/>
            <w:left w:val="none" w:sz="0" w:space="0" w:color="auto"/>
            <w:bottom w:val="none" w:sz="0" w:space="0" w:color="auto"/>
            <w:right w:val="none" w:sz="0" w:space="0" w:color="auto"/>
          </w:divBdr>
          <w:divsChild>
            <w:div w:id="744957507">
              <w:marLeft w:val="0"/>
              <w:marRight w:val="0"/>
              <w:marTop w:val="0"/>
              <w:marBottom w:val="0"/>
              <w:divBdr>
                <w:top w:val="none" w:sz="0" w:space="0" w:color="auto"/>
                <w:left w:val="none" w:sz="0" w:space="0" w:color="auto"/>
                <w:bottom w:val="none" w:sz="0" w:space="0" w:color="auto"/>
                <w:right w:val="none" w:sz="0" w:space="0" w:color="auto"/>
              </w:divBdr>
            </w:div>
          </w:divsChild>
        </w:div>
        <w:div w:id="653804054">
          <w:marLeft w:val="0"/>
          <w:marRight w:val="0"/>
          <w:marTop w:val="0"/>
          <w:marBottom w:val="0"/>
          <w:divBdr>
            <w:top w:val="none" w:sz="0" w:space="0" w:color="auto"/>
            <w:left w:val="none" w:sz="0" w:space="0" w:color="auto"/>
            <w:bottom w:val="none" w:sz="0" w:space="0" w:color="auto"/>
            <w:right w:val="none" w:sz="0" w:space="0" w:color="auto"/>
          </w:divBdr>
          <w:divsChild>
            <w:div w:id="520125179">
              <w:marLeft w:val="0"/>
              <w:marRight w:val="0"/>
              <w:marTop w:val="0"/>
              <w:marBottom w:val="0"/>
              <w:divBdr>
                <w:top w:val="none" w:sz="0" w:space="0" w:color="auto"/>
                <w:left w:val="none" w:sz="0" w:space="0" w:color="auto"/>
                <w:bottom w:val="none" w:sz="0" w:space="0" w:color="auto"/>
                <w:right w:val="none" w:sz="0" w:space="0" w:color="auto"/>
              </w:divBdr>
            </w:div>
          </w:divsChild>
        </w:div>
        <w:div w:id="1550072648">
          <w:marLeft w:val="0"/>
          <w:marRight w:val="0"/>
          <w:marTop w:val="0"/>
          <w:marBottom w:val="0"/>
          <w:divBdr>
            <w:top w:val="none" w:sz="0" w:space="0" w:color="auto"/>
            <w:left w:val="none" w:sz="0" w:space="0" w:color="auto"/>
            <w:bottom w:val="none" w:sz="0" w:space="0" w:color="auto"/>
            <w:right w:val="none" w:sz="0" w:space="0" w:color="auto"/>
          </w:divBdr>
          <w:divsChild>
            <w:div w:id="1518496177">
              <w:marLeft w:val="0"/>
              <w:marRight w:val="0"/>
              <w:marTop w:val="0"/>
              <w:marBottom w:val="0"/>
              <w:divBdr>
                <w:top w:val="none" w:sz="0" w:space="0" w:color="auto"/>
                <w:left w:val="none" w:sz="0" w:space="0" w:color="auto"/>
                <w:bottom w:val="none" w:sz="0" w:space="0" w:color="auto"/>
                <w:right w:val="none" w:sz="0" w:space="0" w:color="auto"/>
              </w:divBdr>
            </w:div>
          </w:divsChild>
        </w:div>
        <w:div w:id="1027832208">
          <w:marLeft w:val="0"/>
          <w:marRight w:val="0"/>
          <w:marTop w:val="0"/>
          <w:marBottom w:val="0"/>
          <w:divBdr>
            <w:top w:val="none" w:sz="0" w:space="0" w:color="auto"/>
            <w:left w:val="none" w:sz="0" w:space="0" w:color="auto"/>
            <w:bottom w:val="none" w:sz="0" w:space="0" w:color="auto"/>
            <w:right w:val="none" w:sz="0" w:space="0" w:color="auto"/>
          </w:divBdr>
          <w:divsChild>
            <w:div w:id="1192111752">
              <w:marLeft w:val="0"/>
              <w:marRight w:val="0"/>
              <w:marTop w:val="0"/>
              <w:marBottom w:val="0"/>
              <w:divBdr>
                <w:top w:val="none" w:sz="0" w:space="0" w:color="auto"/>
                <w:left w:val="none" w:sz="0" w:space="0" w:color="auto"/>
                <w:bottom w:val="none" w:sz="0" w:space="0" w:color="auto"/>
                <w:right w:val="none" w:sz="0" w:space="0" w:color="auto"/>
              </w:divBdr>
            </w:div>
          </w:divsChild>
        </w:div>
        <w:div w:id="230239873">
          <w:marLeft w:val="0"/>
          <w:marRight w:val="0"/>
          <w:marTop w:val="0"/>
          <w:marBottom w:val="0"/>
          <w:divBdr>
            <w:top w:val="none" w:sz="0" w:space="0" w:color="auto"/>
            <w:left w:val="none" w:sz="0" w:space="0" w:color="auto"/>
            <w:bottom w:val="none" w:sz="0" w:space="0" w:color="auto"/>
            <w:right w:val="none" w:sz="0" w:space="0" w:color="auto"/>
          </w:divBdr>
          <w:divsChild>
            <w:div w:id="1055663080">
              <w:marLeft w:val="0"/>
              <w:marRight w:val="0"/>
              <w:marTop w:val="0"/>
              <w:marBottom w:val="0"/>
              <w:divBdr>
                <w:top w:val="none" w:sz="0" w:space="0" w:color="auto"/>
                <w:left w:val="none" w:sz="0" w:space="0" w:color="auto"/>
                <w:bottom w:val="none" w:sz="0" w:space="0" w:color="auto"/>
                <w:right w:val="none" w:sz="0" w:space="0" w:color="auto"/>
              </w:divBdr>
            </w:div>
          </w:divsChild>
        </w:div>
        <w:div w:id="2058045083">
          <w:marLeft w:val="0"/>
          <w:marRight w:val="0"/>
          <w:marTop w:val="0"/>
          <w:marBottom w:val="0"/>
          <w:divBdr>
            <w:top w:val="none" w:sz="0" w:space="0" w:color="auto"/>
            <w:left w:val="none" w:sz="0" w:space="0" w:color="auto"/>
            <w:bottom w:val="none" w:sz="0" w:space="0" w:color="auto"/>
            <w:right w:val="none" w:sz="0" w:space="0" w:color="auto"/>
          </w:divBdr>
          <w:divsChild>
            <w:div w:id="530415601">
              <w:marLeft w:val="0"/>
              <w:marRight w:val="0"/>
              <w:marTop w:val="0"/>
              <w:marBottom w:val="0"/>
              <w:divBdr>
                <w:top w:val="none" w:sz="0" w:space="0" w:color="auto"/>
                <w:left w:val="none" w:sz="0" w:space="0" w:color="auto"/>
                <w:bottom w:val="none" w:sz="0" w:space="0" w:color="auto"/>
                <w:right w:val="none" w:sz="0" w:space="0" w:color="auto"/>
              </w:divBdr>
            </w:div>
          </w:divsChild>
        </w:div>
        <w:div w:id="1760639498">
          <w:marLeft w:val="0"/>
          <w:marRight w:val="0"/>
          <w:marTop w:val="0"/>
          <w:marBottom w:val="0"/>
          <w:divBdr>
            <w:top w:val="none" w:sz="0" w:space="0" w:color="auto"/>
            <w:left w:val="none" w:sz="0" w:space="0" w:color="auto"/>
            <w:bottom w:val="none" w:sz="0" w:space="0" w:color="auto"/>
            <w:right w:val="none" w:sz="0" w:space="0" w:color="auto"/>
          </w:divBdr>
          <w:divsChild>
            <w:div w:id="1331980194">
              <w:marLeft w:val="0"/>
              <w:marRight w:val="0"/>
              <w:marTop w:val="0"/>
              <w:marBottom w:val="0"/>
              <w:divBdr>
                <w:top w:val="none" w:sz="0" w:space="0" w:color="auto"/>
                <w:left w:val="none" w:sz="0" w:space="0" w:color="auto"/>
                <w:bottom w:val="none" w:sz="0" w:space="0" w:color="auto"/>
                <w:right w:val="none" w:sz="0" w:space="0" w:color="auto"/>
              </w:divBdr>
            </w:div>
          </w:divsChild>
        </w:div>
        <w:div w:id="397828563">
          <w:marLeft w:val="0"/>
          <w:marRight w:val="0"/>
          <w:marTop w:val="0"/>
          <w:marBottom w:val="0"/>
          <w:divBdr>
            <w:top w:val="none" w:sz="0" w:space="0" w:color="auto"/>
            <w:left w:val="none" w:sz="0" w:space="0" w:color="auto"/>
            <w:bottom w:val="none" w:sz="0" w:space="0" w:color="auto"/>
            <w:right w:val="none" w:sz="0" w:space="0" w:color="auto"/>
          </w:divBdr>
          <w:divsChild>
            <w:div w:id="8038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134">
      <w:bodyDiv w:val="1"/>
      <w:marLeft w:val="0"/>
      <w:marRight w:val="0"/>
      <w:marTop w:val="0"/>
      <w:marBottom w:val="0"/>
      <w:divBdr>
        <w:top w:val="none" w:sz="0" w:space="0" w:color="auto"/>
        <w:left w:val="none" w:sz="0" w:space="0" w:color="auto"/>
        <w:bottom w:val="none" w:sz="0" w:space="0" w:color="auto"/>
        <w:right w:val="none" w:sz="0" w:space="0" w:color="auto"/>
      </w:divBdr>
    </w:div>
    <w:div w:id="670909664">
      <w:bodyDiv w:val="1"/>
      <w:marLeft w:val="0"/>
      <w:marRight w:val="0"/>
      <w:marTop w:val="0"/>
      <w:marBottom w:val="0"/>
      <w:divBdr>
        <w:top w:val="none" w:sz="0" w:space="0" w:color="auto"/>
        <w:left w:val="none" w:sz="0" w:space="0" w:color="auto"/>
        <w:bottom w:val="none" w:sz="0" w:space="0" w:color="auto"/>
        <w:right w:val="none" w:sz="0" w:space="0" w:color="auto"/>
      </w:divBdr>
    </w:div>
    <w:div w:id="711226547">
      <w:bodyDiv w:val="1"/>
      <w:marLeft w:val="0"/>
      <w:marRight w:val="0"/>
      <w:marTop w:val="0"/>
      <w:marBottom w:val="0"/>
      <w:divBdr>
        <w:top w:val="none" w:sz="0" w:space="0" w:color="auto"/>
        <w:left w:val="none" w:sz="0" w:space="0" w:color="auto"/>
        <w:bottom w:val="none" w:sz="0" w:space="0" w:color="auto"/>
        <w:right w:val="none" w:sz="0" w:space="0" w:color="auto"/>
      </w:divBdr>
    </w:div>
    <w:div w:id="824395348">
      <w:bodyDiv w:val="1"/>
      <w:marLeft w:val="0"/>
      <w:marRight w:val="0"/>
      <w:marTop w:val="0"/>
      <w:marBottom w:val="0"/>
      <w:divBdr>
        <w:top w:val="none" w:sz="0" w:space="0" w:color="auto"/>
        <w:left w:val="none" w:sz="0" w:space="0" w:color="auto"/>
        <w:bottom w:val="none" w:sz="0" w:space="0" w:color="auto"/>
        <w:right w:val="none" w:sz="0" w:space="0" w:color="auto"/>
      </w:divBdr>
    </w:div>
    <w:div w:id="921834534">
      <w:bodyDiv w:val="1"/>
      <w:marLeft w:val="0"/>
      <w:marRight w:val="0"/>
      <w:marTop w:val="0"/>
      <w:marBottom w:val="0"/>
      <w:divBdr>
        <w:top w:val="none" w:sz="0" w:space="0" w:color="auto"/>
        <w:left w:val="none" w:sz="0" w:space="0" w:color="auto"/>
        <w:bottom w:val="none" w:sz="0" w:space="0" w:color="auto"/>
        <w:right w:val="none" w:sz="0" w:space="0" w:color="auto"/>
      </w:divBdr>
      <w:divsChild>
        <w:div w:id="1524128633">
          <w:marLeft w:val="0"/>
          <w:marRight w:val="0"/>
          <w:marTop w:val="0"/>
          <w:marBottom w:val="0"/>
          <w:divBdr>
            <w:top w:val="none" w:sz="0" w:space="0" w:color="auto"/>
            <w:left w:val="none" w:sz="0" w:space="0" w:color="auto"/>
            <w:bottom w:val="none" w:sz="0" w:space="0" w:color="auto"/>
            <w:right w:val="none" w:sz="0" w:space="0" w:color="auto"/>
          </w:divBdr>
        </w:div>
        <w:div w:id="1271864021">
          <w:marLeft w:val="0"/>
          <w:marRight w:val="0"/>
          <w:marTop w:val="0"/>
          <w:marBottom w:val="0"/>
          <w:divBdr>
            <w:top w:val="none" w:sz="0" w:space="0" w:color="auto"/>
            <w:left w:val="none" w:sz="0" w:space="0" w:color="auto"/>
            <w:bottom w:val="none" w:sz="0" w:space="0" w:color="auto"/>
            <w:right w:val="none" w:sz="0" w:space="0" w:color="auto"/>
          </w:divBdr>
        </w:div>
        <w:div w:id="1912960647">
          <w:marLeft w:val="0"/>
          <w:marRight w:val="0"/>
          <w:marTop w:val="0"/>
          <w:marBottom w:val="0"/>
          <w:divBdr>
            <w:top w:val="none" w:sz="0" w:space="0" w:color="auto"/>
            <w:left w:val="none" w:sz="0" w:space="0" w:color="auto"/>
            <w:bottom w:val="none" w:sz="0" w:space="0" w:color="auto"/>
            <w:right w:val="none" w:sz="0" w:space="0" w:color="auto"/>
          </w:divBdr>
        </w:div>
        <w:div w:id="1106851075">
          <w:marLeft w:val="0"/>
          <w:marRight w:val="0"/>
          <w:marTop w:val="0"/>
          <w:marBottom w:val="0"/>
          <w:divBdr>
            <w:top w:val="none" w:sz="0" w:space="0" w:color="auto"/>
            <w:left w:val="none" w:sz="0" w:space="0" w:color="auto"/>
            <w:bottom w:val="none" w:sz="0" w:space="0" w:color="auto"/>
            <w:right w:val="none" w:sz="0" w:space="0" w:color="auto"/>
          </w:divBdr>
        </w:div>
        <w:div w:id="1584801270">
          <w:marLeft w:val="0"/>
          <w:marRight w:val="0"/>
          <w:marTop w:val="0"/>
          <w:marBottom w:val="0"/>
          <w:divBdr>
            <w:top w:val="none" w:sz="0" w:space="0" w:color="auto"/>
            <w:left w:val="none" w:sz="0" w:space="0" w:color="auto"/>
            <w:bottom w:val="none" w:sz="0" w:space="0" w:color="auto"/>
            <w:right w:val="none" w:sz="0" w:space="0" w:color="auto"/>
          </w:divBdr>
        </w:div>
        <w:div w:id="1899052521">
          <w:marLeft w:val="0"/>
          <w:marRight w:val="0"/>
          <w:marTop w:val="0"/>
          <w:marBottom w:val="0"/>
          <w:divBdr>
            <w:top w:val="none" w:sz="0" w:space="0" w:color="auto"/>
            <w:left w:val="none" w:sz="0" w:space="0" w:color="auto"/>
            <w:bottom w:val="none" w:sz="0" w:space="0" w:color="auto"/>
            <w:right w:val="none" w:sz="0" w:space="0" w:color="auto"/>
          </w:divBdr>
        </w:div>
      </w:divsChild>
    </w:div>
    <w:div w:id="974260335">
      <w:bodyDiv w:val="1"/>
      <w:marLeft w:val="0"/>
      <w:marRight w:val="0"/>
      <w:marTop w:val="0"/>
      <w:marBottom w:val="0"/>
      <w:divBdr>
        <w:top w:val="none" w:sz="0" w:space="0" w:color="auto"/>
        <w:left w:val="none" w:sz="0" w:space="0" w:color="auto"/>
        <w:bottom w:val="none" w:sz="0" w:space="0" w:color="auto"/>
        <w:right w:val="none" w:sz="0" w:space="0" w:color="auto"/>
      </w:divBdr>
    </w:div>
    <w:div w:id="1048184174">
      <w:bodyDiv w:val="1"/>
      <w:marLeft w:val="0"/>
      <w:marRight w:val="0"/>
      <w:marTop w:val="0"/>
      <w:marBottom w:val="0"/>
      <w:divBdr>
        <w:top w:val="none" w:sz="0" w:space="0" w:color="auto"/>
        <w:left w:val="none" w:sz="0" w:space="0" w:color="auto"/>
        <w:bottom w:val="none" w:sz="0" w:space="0" w:color="auto"/>
        <w:right w:val="none" w:sz="0" w:space="0" w:color="auto"/>
      </w:divBdr>
    </w:div>
    <w:div w:id="1255430794">
      <w:bodyDiv w:val="1"/>
      <w:marLeft w:val="0"/>
      <w:marRight w:val="0"/>
      <w:marTop w:val="0"/>
      <w:marBottom w:val="0"/>
      <w:divBdr>
        <w:top w:val="none" w:sz="0" w:space="0" w:color="auto"/>
        <w:left w:val="none" w:sz="0" w:space="0" w:color="auto"/>
        <w:bottom w:val="none" w:sz="0" w:space="0" w:color="auto"/>
        <w:right w:val="none" w:sz="0" w:space="0" w:color="auto"/>
      </w:divBdr>
      <w:divsChild>
        <w:div w:id="1164975352">
          <w:marLeft w:val="0"/>
          <w:marRight w:val="0"/>
          <w:marTop w:val="0"/>
          <w:marBottom w:val="0"/>
          <w:divBdr>
            <w:top w:val="none" w:sz="0" w:space="0" w:color="auto"/>
            <w:left w:val="none" w:sz="0" w:space="0" w:color="auto"/>
            <w:bottom w:val="none" w:sz="0" w:space="0" w:color="auto"/>
            <w:right w:val="none" w:sz="0" w:space="0" w:color="auto"/>
          </w:divBdr>
          <w:divsChild>
            <w:div w:id="749887822">
              <w:marLeft w:val="0"/>
              <w:marRight w:val="0"/>
              <w:marTop w:val="0"/>
              <w:marBottom w:val="0"/>
              <w:divBdr>
                <w:top w:val="none" w:sz="0" w:space="0" w:color="auto"/>
                <w:left w:val="none" w:sz="0" w:space="0" w:color="auto"/>
                <w:bottom w:val="none" w:sz="0" w:space="0" w:color="auto"/>
                <w:right w:val="none" w:sz="0" w:space="0" w:color="auto"/>
              </w:divBdr>
            </w:div>
            <w:div w:id="49503924">
              <w:marLeft w:val="0"/>
              <w:marRight w:val="0"/>
              <w:marTop w:val="0"/>
              <w:marBottom w:val="0"/>
              <w:divBdr>
                <w:top w:val="none" w:sz="0" w:space="0" w:color="auto"/>
                <w:left w:val="none" w:sz="0" w:space="0" w:color="auto"/>
                <w:bottom w:val="none" w:sz="0" w:space="0" w:color="auto"/>
                <w:right w:val="none" w:sz="0" w:space="0" w:color="auto"/>
              </w:divBdr>
            </w:div>
          </w:divsChild>
        </w:div>
        <w:div w:id="1067917199">
          <w:marLeft w:val="0"/>
          <w:marRight w:val="0"/>
          <w:marTop w:val="0"/>
          <w:marBottom w:val="0"/>
          <w:divBdr>
            <w:top w:val="none" w:sz="0" w:space="0" w:color="auto"/>
            <w:left w:val="none" w:sz="0" w:space="0" w:color="auto"/>
            <w:bottom w:val="none" w:sz="0" w:space="0" w:color="auto"/>
            <w:right w:val="none" w:sz="0" w:space="0" w:color="auto"/>
          </w:divBdr>
          <w:divsChild>
            <w:div w:id="1554537160">
              <w:marLeft w:val="0"/>
              <w:marRight w:val="0"/>
              <w:marTop w:val="0"/>
              <w:marBottom w:val="0"/>
              <w:divBdr>
                <w:top w:val="none" w:sz="0" w:space="0" w:color="auto"/>
                <w:left w:val="none" w:sz="0" w:space="0" w:color="auto"/>
                <w:bottom w:val="none" w:sz="0" w:space="0" w:color="auto"/>
                <w:right w:val="none" w:sz="0" w:space="0" w:color="auto"/>
              </w:divBdr>
            </w:div>
          </w:divsChild>
        </w:div>
        <w:div w:id="2079476489">
          <w:marLeft w:val="0"/>
          <w:marRight w:val="0"/>
          <w:marTop w:val="0"/>
          <w:marBottom w:val="0"/>
          <w:divBdr>
            <w:top w:val="none" w:sz="0" w:space="0" w:color="auto"/>
            <w:left w:val="none" w:sz="0" w:space="0" w:color="auto"/>
            <w:bottom w:val="none" w:sz="0" w:space="0" w:color="auto"/>
            <w:right w:val="none" w:sz="0" w:space="0" w:color="auto"/>
          </w:divBdr>
          <w:divsChild>
            <w:div w:id="1000277389">
              <w:marLeft w:val="0"/>
              <w:marRight w:val="0"/>
              <w:marTop w:val="0"/>
              <w:marBottom w:val="0"/>
              <w:divBdr>
                <w:top w:val="none" w:sz="0" w:space="0" w:color="auto"/>
                <w:left w:val="none" w:sz="0" w:space="0" w:color="auto"/>
                <w:bottom w:val="none" w:sz="0" w:space="0" w:color="auto"/>
                <w:right w:val="none" w:sz="0" w:space="0" w:color="auto"/>
              </w:divBdr>
            </w:div>
          </w:divsChild>
        </w:div>
        <w:div w:id="159125031">
          <w:marLeft w:val="0"/>
          <w:marRight w:val="0"/>
          <w:marTop w:val="0"/>
          <w:marBottom w:val="0"/>
          <w:divBdr>
            <w:top w:val="none" w:sz="0" w:space="0" w:color="auto"/>
            <w:left w:val="none" w:sz="0" w:space="0" w:color="auto"/>
            <w:bottom w:val="none" w:sz="0" w:space="0" w:color="auto"/>
            <w:right w:val="none" w:sz="0" w:space="0" w:color="auto"/>
          </w:divBdr>
          <w:divsChild>
            <w:div w:id="703605259">
              <w:marLeft w:val="0"/>
              <w:marRight w:val="0"/>
              <w:marTop w:val="0"/>
              <w:marBottom w:val="0"/>
              <w:divBdr>
                <w:top w:val="none" w:sz="0" w:space="0" w:color="auto"/>
                <w:left w:val="none" w:sz="0" w:space="0" w:color="auto"/>
                <w:bottom w:val="none" w:sz="0" w:space="0" w:color="auto"/>
                <w:right w:val="none" w:sz="0" w:space="0" w:color="auto"/>
              </w:divBdr>
            </w:div>
          </w:divsChild>
        </w:div>
        <w:div w:id="399521462">
          <w:marLeft w:val="0"/>
          <w:marRight w:val="0"/>
          <w:marTop w:val="0"/>
          <w:marBottom w:val="0"/>
          <w:divBdr>
            <w:top w:val="none" w:sz="0" w:space="0" w:color="auto"/>
            <w:left w:val="none" w:sz="0" w:space="0" w:color="auto"/>
            <w:bottom w:val="none" w:sz="0" w:space="0" w:color="auto"/>
            <w:right w:val="none" w:sz="0" w:space="0" w:color="auto"/>
          </w:divBdr>
          <w:divsChild>
            <w:div w:id="22949161">
              <w:marLeft w:val="0"/>
              <w:marRight w:val="0"/>
              <w:marTop w:val="0"/>
              <w:marBottom w:val="0"/>
              <w:divBdr>
                <w:top w:val="none" w:sz="0" w:space="0" w:color="auto"/>
                <w:left w:val="none" w:sz="0" w:space="0" w:color="auto"/>
                <w:bottom w:val="none" w:sz="0" w:space="0" w:color="auto"/>
                <w:right w:val="none" w:sz="0" w:space="0" w:color="auto"/>
              </w:divBdr>
            </w:div>
          </w:divsChild>
        </w:div>
        <w:div w:id="1116947934">
          <w:marLeft w:val="0"/>
          <w:marRight w:val="0"/>
          <w:marTop w:val="0"/>
          <w:marBottom w:val="0"/>
          <w:divBdr>
            <w:top w:val="none" w:sz="0" w:space="0" w:color="auto"/>
            <w:left w:val="none" w:sz="0" w:space="0" w:color="auto"/>
            <w:bottom w:val="none" w:sz="0" w:space="0" w:color="auto"/>
            <w:right w:val="none" w:sz="0" w:space="0" w:color="auto"/>
          </w:divBdr>
          <w:divsChild>
            <w:div w:id="1809935850">
              <w:marLeft w:val="0"/>
              <w:marRight w:val="0"/>
              <w:marTop w:val="0"/>
              <w:marBottom w:val="0"/>
              <w:divBdr>
                <w:top w:val="none" w:sz="0" w:space="0" w:color="auto"/>
                <w:left w:val="none" w:sz="0" w:space="0" w:color="auto"/>
                <w:bottom w:val="none" w:sz="0" w:space="0" w:color="auto"/>
                <w:right w:val="none" w:sz="0" w:space="0" w:color="auto"/>
              </w:divBdr>
            </w:div>
          </w:divsChild>
        </w:div>
        <w:div w:id="1386416236">
          <w:marLeft w:val="0"/>
          <w:marRight w:val="0"/>
          <w:marTop w:val="0"/>
          <w:marBottom w:val="0"/>
          <w:divBdr>
            <w:top w:val="none" w:sz="0" w:space="0" w:color="auto"/>
            <w:left w:val="none" w:sz="0" w:space="0" w:color="auto"/>
            <w:bottom w:val="none" w:sz="0" w:space="0" w:color="auto"/>
            <w:right w:val="none" w:sz="0" w:space="0" w:color="auto"/>
          </w:divBdr>
          <w:divsChild>
            <w:div w:id="54085476">
              <w:marLeft w:val="0"/>
              <w:marRight w:val="0"/>
              <w:marTop w:val="0"/>
              <w:marBottom w:val="0"/>
              <w:divBdr>
                <w:top w:val="none" w:sz="0" w:space="0" w:color="auto"/>
                <w:left w:val="none" w:sz="0" w:space="0" w:color="auto"/>
                <w:bottom w:val="none" w:sz="0" w:space="0" w:color="auto"/>
                <w:right w:val="none" w:sz="0" w:space="0" w:color="auto"/>
              </w:divBdr>
            </w:div>
          </w:divsChild>
        </w:div>
        <w:div w:id="1841462888">
          <w:marLeft w:val="0"/>
          <w:marRight w:val="0"/>
          <w:marTop w:val="0"/>
          <w:marBottom w:val="0"/>
          <w:divBdr>
            <w:top w:val="none" w:sz="0" w:space="0" w:color="auto"/>
            <w:left w:val="none" w:sz="0" w:space="0" w:color="auto"/>
            <w:bottom w:val="none" w:sz="0" w:space="0" w:color="auto"/>
            <w:right w:val="none" w:sz="0" w:space="0" w:color="auto"/>
          </w:divBdr>
          <w:divsChild>
            <w:div w:id="780732196">
              <w:marLeft w:val="0"/>
              <w:marRight w:val="0"/>
              <w:marTop w:val="0"/>
              <w:marBottom w:val="0"/>
              <w:divBdr>
                <w:top w:val="none" w:sz="0" w:space="0" w:color="auto"/>
                <w:left w:val="none" w:sz="0" w:space="0" w:color="auto"/>
                <w:bottom w:val="none" w:sz="0" w:space="0" w:color="auto"/>
                <w:right w:val="none" w:sz="0" w:space="0" w:color="auto"/>
              </w:divBdr>
            </w:div>
          </w:divsChild>
        </w:div>
        <w:div w:id="1390688277">
          <w:marLeft w:val="0"/>
          <w:marRight w:val="0"/>
          <w:marTop w:val="0"/>
          <w:marBottom w:val="0"/>
          <w:divBdr>
            <w:top w:val="none" w:sz="0" w:space="0" w:color="auto"/>
            <w:left w:val="none" w:sz="0" w:space="0" w:color="auto"/>
            <w:bottom w:val="none" w:sz="0" w:space="0" w:color="auto"/>
            <w:right w:val="none" w:sz="0" w:space="0" w:color="auto"/>
          </w:divBdr>
          <w:divsChild>
            <w:div w:id="76293889">
              <w:marLeft w:val="0"/>
              <w:marRight w:val="0"/>
              <w:marTop w:val="0"/>
              <w:marBottom w:val="0"/>
              <w:divBdr>
                <w:top w:val="none" w:sz="0" w:space="0" w:color="auto"/>
                <w:left w:val="none" w:sz="0" w:space="0" w:color="auto"/>
                <w:bottom w:val="none" w:sz="0" w:space="0" w:color="auto"/>
                <w:right w:val="none" w:sz="0" w:space="0" w:color="auto"/>
              </w:divBdr>
            </w:div>
          </w:divsChild>
        </w:div>
        <w:div w:id="1789548521">
          <w:marLeft w:val="0"/>
          <w:marRight w:val="0"/>
          <w:marTop w:val="0"/>
          <w:marBottom w:val="0"/>
          <w:divBdr>
            <w:top w:val="none" w:sz="0" w:space="0" w:color="auto"/>
            <w:left w:val="none" w:sz="0" w:space="0" w:color="auto"/>
            <w:bottom w:val="none" w:sz="0" w:space="0" w:color="auto"/>
            <w:right w:val="none" w:sz="0" w:space="0" w:color="auto"/>
          </w:divBdr>
          <w:divsChild>
            <w:div w:id="145364312">
              <w:marLeft w:val="0"/>
              <w:marRight w:val="0"/>
              <w:marTop w:val="0"/>
              <w:marBottom w:val="0"/>
              <w:divBdr>
                <w:top w:val="none" w:sz="0" w:space="0" w:color="auto"/>
                <w:left w:val="none" w:sz="0" w:space="0" w:color="auto"/>
                <w:bottom w:val="none" w:sz="0" w:space="0" w:color="auto"/>
                <w:right w:val="none" w:sz="0" w:space="0" w:color="auto"/>
              </w:divBdr>
            </w:div>
          </w:divsChild>
        </w:div>
        <w:div w:id="668407406">
          <w:marLeft w:val="0"/>
          <w:marRight w:val="0"/>
          <w:marTop w:val="0"/>
          <w:marBottom w:val="0"/>
          <w:divBdr>
            <w:top w:val="none" w:sz="0" w:space="0" w:color="auto"/>
            <w:left w:val="none" w:sz="0" w:space="0" w:color="auto"/>
            <w:bottom w:val="none" w:sz="0" w:space="0" w:color="auto"/>
            <w:right w:val="none" w:sz="0" w:space="0" w:color="auto"/>
          </w:divBdr>
          <w:divsChild>
            <w:div w:id="696078276">
              <w:marLeft w:val="0"/>
              <w:marRight w:val="0"/>
              <w:marTop w:val="0"/>
              <w:marBottom w:val="0"/>
              <w:divBdr>
                <w:top w:val="none" w:sz="0" w:space="0" w:color="auto"/>
                <w:left w:val="none" w:sz="0" w:space="0" w:color="auto"/>
                <w:bottom w:val="none" w:sz="0" w:space="0" w:color="auto"/>
                <w:right w:val="none" w:sz="0" w:space="0" w:color="auto"/>
              </w:divBdr>
            </w:div>
          </w:divsChild>
        </w:div>
        <w:div w:id="681467367">
          <w:marLeft w:val="0"/>
          <w:marRight w:val="0"/>
          <w:marTop w:val="0"/>
          <w:marBottom w:val="0"/>
          <w:divBdr>
            <w:top w:val="none" w:sz="0" w:space="0" w:color="auto"/>
            <w:left w:val="none" w:sz="0" w:space="0" w:color="auto"/>
            <w:bottom w:val="none" w:sz="0" w:space="0" w:color="auto"/>
            <w:right w:val="none" w:sz="0" w:space="0" w:color="auto"/>
          </w:divBdr>
          <w:divsChild>
            <w:div w:id="272251042">
              <w:marLeft w:val="0"/>
              <w:marRight w:val="0"/>
              <w:marTop w:val="0"/>
              <w:marBottom w:val="0"/>
              <w:divBdr>
                <w:top w:val="none" w:sz="0" w:space="0" w:color="auto"/>
                <w:left w:val="none" w:sz="0" w:space="0" w:color="auto"/>
                <w:bottom w:val="none" w:sz="0" w:space="0" w:color="auto"/>
                <w:right w:val="none" w:sz="0" w:space="0" w:color="auto"/>
              </w:divBdr>
            </w:div>
          </w:divsChild>
        </w:div>
        <w:div w:id="435752614">
          <w:marLeft w:val="0"/>
          <w:marRight w:val="0"/>
          <w:marTop w:val="0"/>
          <w:marBottom w:val="0"/>
          <w:divBdr>
            <w:top w:val="none" w:sz="0" w:space="0" w:color="auto"/>
            <w:left w:val="none" w:sz="0" w:space="0" w:color="auto"/>
            <w:bottom w:val="none" w:sz="0" w:space="0" w:color="auto"/>
            <w:right w:val="none" w:sz="0" w:space="0" w:color="auto"/>
          </w:divBdr>
          <w:divsChild>
            <w:div w:id="137191011">
              <w:marLeft w:val="0"/>
              <w:marRight w:val="0"/>
              <w:marTop w:val="0"/>
              <w:marBottom w:val="0"/>
              <w:divBdr>
                <w:top w:val="none" w:sz="0" w:space="0" w:color="auto"/>
                <w:left w:val="none" w:sz="0" w:space="0" w:color="auto"/>
                <w:bottom w:val="none" w:sz="0" w:space="0" w:color="auto"/>
                <w:right w:val="none" w:sz="0" w:space="0" w:color="auto"/>
              </w:divBdr>
            </w:div>
          </w:divsChild>
        </w:div>
        <w:div w:id="422386519">
          <w:marLeft w:val="0"/>
          <w:marRight w:val="0"/>
          <w:marTop w:val="0"/>
          <w:marBottom w:val="0"/>
          <w:divBdr>
            <w:top w:val="none" w:sz="0" w:space="0" w:color="auto"/>
            <w:left w:val="none" w:sz="0" w:space="0" w:color="auto"/>
            <w:bottom w:val="none" w:sz="0" w:space="0" w:color="auto"/>
            <w:right w:val="none" w:sz="0" w:space="0" w:color="auto"/>
          </w:divBdr>
          <w:divsChild>
            <w:div w:id="2131779731">
              <w:marLeft w:val="0"/>
              <w:marRight w:val="0"/>
              <w:marTop w:val="0"/>
              <w:marBottom w:val="0"/>
              <w:divBdr>
                <w:top w:val="none" w:sz="0" w:space="0" w:color="auto"/>
                <w:left w:val="none" w:sz="0" w:space="0" w:color="auto"/>
                <w:bottom w:val="none" w:sz="0" w:space="0" w:color="auto"/>
                <w:right w:val="none" w:sz="0" w:space="0" w:color="auto"/>
              </w:divBdr>
            </w:div>
          </w:divsChild>
        </w:div>
        <w:div w:id="1288269298">
          <w:marLeft w:val="0"/>
          <w:marRight w:val="0"/>
          <w:marTop w:val="0"/>
          <w:marBottom w:val="0"/>
          <w:divBdr>
            <w:top w:val="none" w:sz="0" w:space="0" w:color="auto"/>
            <w:left w:val="none" w:sz="0" w:space="0" w:color="auto"/>
            <w:bottom w:val="none" w:sz="0" w:space="0" w:color="auto"/>
            <w:right w:val="none" w:sz="0" w:space="0" w:color="auto"/>
          </w:divBdr>
          <w:divsChild>
            <w:div w:id="1924990428">
              <w:marLeft w:val="0"/>
              <w:marRight w:val="0"/>
              <w:marTop w:val="0"/>
              <w:marBottom w:val="0"/>
              <w:divBdr>
                <w:top w:val="none" w:sz="0" w:space="0" w:color="auto"/>
                <w:left w:val="none" w:sz="0" w:space="0" w:color="auto"/>
                <w:bottom w:val="none" w:sz="0" w:space="0" w:color="auto"/>
                <w:right w:val="none" w:sz="0" w:space="0" w:color="auto"/>
              </w:divBdr>
            </w:div>
          </w:divsChild>
        </w:div>
        <w:div w:id="1023941459">
          <w:marLeft w:val="0"/>
          <w:marRight w:val="0"/>
          <w:marTop w:val="0"/>
          <w:marBottom w:val="0"/>
          <w:divBdr>
            <w:top w:val="none" w:sz="0" w:space="0" w:color="auto"/>
            <w:left w:val="none" w:sz="0" w:space="0" w:color="auto"/>
            <w:bottom w:val="none" w:sz="0" w:space="0" w:color="auto"/>
            <w:right w:val="none" w:sz="0" w:space="0" w:color="auto"/>
          </w:divBdr>
          <w:divsChild>
            <w:div w:id="2042784359">
              <w:marLeft w:val="0"/>
              <w:marRight w:val="0"/>
              <w:marTop w:val="0"/>
              <w:marBottom w:val="0"/>
              <w:divBdr>
                <w:top w:val="none" w:sz="0" w:space="0" w:color="auto"/>
                <w:left w:val="none" w:sz="0" w:space="0" w:color="auto"/>
                <w:bottom w:val="none" w:sz="0" w:space="0" w:color="auto"/>
                <w:right w:val="none" w:sz="0" w:space="0" w:color="auto"/>
              </w:divBdr>
            </w:div>
            <w:div w:id="143281417">
              <w:marLeft w:val="0"/>
              <w:marRight w:val="0"/>
              <w:marTop w:val="0"/>
              <w:marBottom w:val="0"/>
              <w:divBdr>
                <w:top w:val="none" w:sz="0" w:space="0" w:color="auto"/>
                <w:left w:val="none" w:sz="0" w:space="0" w:color="auto"/>
                <w:bottom w:val="none" w:sz="0" w:space="0" w:color="auto"/>
                <w:right w:val="none" w:sz="0" w:space="0" w:color="auto"/>
              </w:divBdr>
            </w:div>
            <w:div w:id="2130707675">
              <w:marLeft w:val="0"/>
              <w:marRight w:val="0"/>
              <w:marTop w:val="0"/>
              <w:marBottom w:val="0"/>
              <w:divBdr>
                <w:top w:val="none" w:sz="0" w:space="0" w:color="auto"/>
                <w:left w:val="none" w:sz="0" w:space="0" w:color="auto"/>
                <w:bottom w:val="none" w:sz="0" w:space="0" w:color="auto"/>
                <w:right w:val="none" w:sz="0" w:space="0" w:color="auto"/>
              </w:divBdr>
            </w:div>
          </w:divsChild>
        </w:div>
        <w:div w:id="129859193">
          <w:marLeft w:val="0"/>
          <w:marRight w:val="0"/>
          <w:marTop w:val="0"/>
          <w:marBottom w:val="0"/>
          <w:divBdr>
            <w:top w:val="none" w:sz="0" w:space="0" w:color="auto"/>
            <w:left w:val="none" w:sz="0" w:space="0" w:color="auto"/>
            <w:bottom w:val="none" w:sz="0" w:space="0" w:color="auto"/>
            <w:right w:val="none" w:sz="0" w:space="0" w:color="auto"/>
          </w:divBdr>
          <w:divsChild>
            <w:div w:id="1089891449">
              <w:marLeft w:val="0"/>
              <w:marRight w:val="0"/>
              <w:marTop w:val="0"/>
              <w:marBottom w:val="0"/>
              <w:divBdr>
                <w:top w:val="none" w:sz="0" w:space="0" w:color="auto"/>
                <w:left w:val="none" w:sz="0" w:space="0" w:color="auto"/>
                <w:bottom w:val="none" w:sz="0" w:space="0" w:color="auto"/>
                <w:right w:val="none" w:sz="0" w:space="0" w:color="auto"/>
              </w:divBdr>
            </w:div>
            <w:div w:id="141777125">
              <w:marLeft w:val="0"/>
              <w:marRight w:val="0"/>
              <w:marTop w:val="0"/>
              <w:marBottom w:val="0"/>
              <w:divBdr>
                <w:top w:val="none" w:sz="0" w:space="0" w:color="auto"/>
                <w:left w:val="none" w:sz="0" w:space="0" w:color="auto"/>
                <w:bottom w:val="none" w:sz="0" w:space="0" w:color="auto"/>
                <w:right w:val="none" w:sz="0" w:space="0" w:color="auto"/>
              </w:divBdr>
            </w:div>
            <w:div w:id="1733843147">
              <w:marLeft w:val="0"/>
              <w:marRight w:val="0"/>
              <w:marTop w:val="0"/>
              <w:marBottom w:val="0"/>
              <w:divBdr>
                <w:top w:val="none" w:sz="0" w:space="0" w:color="auto"/>
                <w:left w:val="none" w:sz="0" w:space="0" w:color="auto"/>
                <w:bottom w:val="none" w:sz="0" w:space="0" w:color="auto"/>
                <w:right w:val="none" w:sz="0" w:space="0" w:color="auto"/>
              </w:divBdr>
            </w:div>
          </w:divsChild>
        </w:div>
        <w:div w:id="715593425">
          <w:marLeft w:val="0"/>
          <w:marRight w:val="0"/>
          <w:marTop w:val="0"/>
          <w:marBottom w:val="0"/>
          <w:divBdr>
            <w:top w:val="none" w:sz="0" w:space="0" w:color="auto"/>
            <w:left w:val="none" w:sz="0" w:space="0" w:color="auto"/>
            <w:bottom w:val="none" w:sz="0" w:space="0" w:color="auto"/>
            <w:right w:val="none" w:sz="0" w:space="0" w:color="auto"/>
          </w:divBdr>
          <w:divsChild>
            <w:div w:id="645935453">
              <w:marLeft w:val="0"/>
              <w:marRight w:val="0"/>
              <w:marTop w:val="0"/>
              <w:marBottom w:val="0"/>
              <w:divBdr>
                <w:top w:val="none" w:sz="0" w:space="0" w:color="auto"/>
                <w:left w:val="none" w:sz="0" w:space="0" w:color="auto"/>
                <w:bottom w:val="none" w:sz="0" w:space="0" w:color="auto"/>
                <w:right w:val="none" w:sz="0" w:space="0" w:color="auto"/>
              </w:divBdr>
            </w:div>
            <w:div w:id="1591811082">
              <w:marLeft w:val="0"/>
              <w:marRight w:val="0"/>
              <w:marTop w:val="0"/>
              <w:marBottom w:val="0"/>
              <w:divBdr>
                <w:top w:val="none" w:sz="0" w:space="0" w:color="auto"/>
                <w:left w:val="none" w:sz="0" w:space="0" w:color="auto"/>
                <w:bottom w:val="none" w:sz="0" w:space="0" w:color="auto"/>
                <w:right w:val="none" w:sz="0" w:space="0" w:color="auto"/>
              </w:divBdr>
            </w:div>
            <w:div w:id="981495770">
              <w:marLeft w:val="0"/>
              <w:marRight w:val="0"/>
              <w:marTop w:val="0"/>
              <w:marBottom w:val="0"/>
              <w:divBdr>
                <w:top w:val="none" w:sz="0" w:space="0" w:color="auto"/>
                <w:left w:val="none" w:sz="0" w:space="0" w:color="auto"/>
                <w:bottom w:val="none" w:sz="0" w:space="0" w:color="auto"/>
                <w:right w:val="none" w:sz="0" w:space="0" w:color="auto"/>
              </w:divBdr>
            </w:div>
          </w:divsChild>
        </w:div>
        <w:div w:id="654921781">
          <w:marLeft w:val="0"/>
          <w:marRight w:val="0"/>
          <w:marTop w:val="0"/>
          <w:marBottom w:val="0"/>
          <w:divBdr>
            <w:top w:val="none" w:sz="0" w:space="0" w:color="auto"/>
            <w:left w:val="none" w:sz="0" w:space="0" w:color="auto"/>
            <w:bottom w:val="none" w:sz="0" w:space="0" w:color="auto"/>
            <w:right w:val="none" w:sz="0" w:space="0" w:color="auto"/>
          </w:divBdr>
          <w:divsChild>
            <w:div w:id="1411461993">
              <w:marLeft w:val="0"/>
              <w:marRight w:val="0"/>
              <w:marTop w:val="0"/>
              <w:marBottom w:val="0"/>
              <w:divBdr>
                <w:top w:val="none" w:sz="0" w:space="0" w:color="auto"/>
                <w:left w:val="none" w:sz="0" w:space="0" w:color="auto"/>
                <w:bottom w:val="none" w:sz="0" w:space="0" w:color="auto"/>
                <w:right w:val="none" w:sz="0" w:space="0" w:color="auto"/>
              </w:divBdr>
            </w:div>
            <w:div w:id="1604801849">
              <w:marLeft w:val="0"/>
              <w:marRight w:val="0"/>
              <w:marTop w:val="0"/>
              <w:marBottom w:val="0"/>
              <w:divBdr>
                <w:top w:val="none" w:sz="0" w:space="0" w:color="auto"/>
                <w:left w:val="none" w:sz="0" w:space="0" w:color="auto"/>
                <w:bottom w:val="none" w:sz="0" w:space="0" w:color="auto"/>
                <w:right w:val="none" w:sz="0" w:space="0" w:color="auto"/>
              </w:divBdr>
            </w:div>
            <w:div w:id="119420105">
              <w:marLeft w:val="0"/>
              <w:marRight w:val="0"/>
              <w:marTop w:val="0"/>
              <w:marBottom w:val="0"/>
              <w:divBdr>
                <w:top w:val="none" w:sz="0" w:space="0" w:color="auto"/>
                <w:left w:val="none" w:sz="0" w:space="0" w:color="auto"/>
                <w:bottom w:val="none" w:sz="0" w:space="0" w:color="auto"/>
                <w:right w:val="none" w:sz="0" w:space="0" w:color="auto"/>
              </w:divBdr>
            </w:div>
          </w:divsChild>
        </w:div>
        <w:div w:id="1165899292">
          <w:marLeft w:val="0"/>
          <w:marRight w:val="0"/>
          <w:marTop w:val="0"/>
          <w:marBottom w:val="0"/>
          <w:divBdr>
            <w:top w:val="none" w:sz="0" w:space="0" w:color="auto"/>
            <w:left w:val="none" w:sz="0" w:space="0" w:color="auto"/>
            <w:bottom w:val="none" w:sz="0" w:space="0" w:color="auto"/>
            <w:right w:val="none" w:sz="0" w:space="0" w:color="auto"/>
          </w:divBdr>
          <w:divsChild>
            <w:div w:id="557977973">
              <w:marLeft w:val="0"/>
              <w:marRight w:val="0"/>
              <w:marTop w:val="0"/>
              <w:marBottom w:val="0"/>
              <w:divBdr>
                <w:top w:val="none" w:sz="0" w:space="0" w:color="auto"/>
                <w:left w:val="none" w:sz="0" w:space="0" w:color="auto"/>
                <w:bottom w:val="none" w:sz="0" w:space="0" w:color="auto"/>
                <w:right w:val="none" w:sz="0" w:space="0" w:color="auto"/>
              </w:divBdr>
            </w:div>
          </w:divsChild>
        </w:div>
        <w:div w:id="268663497">
          <w:marLeft w:val="0"/>
          <w:marRight w:val="0"/>
          <w:marTop w:val="0"/>
          <w:marBottom w:val="0"/>
          <w:divBdr>
            <w:top w:val="none" w:sz="0" w:space="0" w:color="auto"/>
            <w:left w:val="none" w:sz="0" w:space="0" w:color="auto"/>
            <w:bottom w:val="none" w:sz="0" w:space="0" w:color="auto"/>
            <w:right w:val="none" w:sz="0" w:space="0" w:color="auto"/>
          </w:divBdr>
          <w:divsChild>
            <w:div w:id="1923759036">
              <w:marLeft w:val="0"/>
              <w:marRight w:val="0"/>
              <w:marTop w:val="0"/>
              <w:marBottom w:val="0"/>
              <w:divBdr>
                <w:top w:val="none" w:sz="0" w:space="0" w:color="auto"/>
                <w:left w:val="none" w:sz="0" w:space="0" w:color="auto"/>
                <w:bottom w:val="none" w:sz="0" w:space="0" w:color="auto"/>
                <w:right w:val="none" w:sz="0" w:space="0" w:color="auto"/>
              </w:divBdr>
            </w:div>
            <w:div w:id="896160741">
              <w:marLeft w:val="0"/>
              <w:marRight w:val="0"/>
              <w:marTop w:val="0"/>
              <w:marBottom w:val="0"/>
              <w:divBdr>
                <w:top w:val="none" w:sz="0" w:space="0" w:color="auto"/>
                <w:left w:val="none" w:sz="0" w:space="0" w:color="auto"/>
                <w:bottom w:val="none" w:sz="0" w:space="0" w:color="auto"/>
                <w:right w:val="none" w:sz="0" w:space="0" w:color="auto"/>
              </w:divBdr>
            </w:div>
          </w:divsChild>
        </w:div>
        <w:div w:id="1760980075">
          <w:marLeft w:val="0"/>
          <w:marRight w:val="0"/>
          <w:marTop w:val="0"/>
          <w:marBottom w:val="0"/>
          <w:divBdr>
            <w:top w:val="none" w:sz="0" w:space="0" w:color="auto"/>
            <w:left w:val="none" w:sz="0" w:space="0" w:color="auto"/>
            <w:bottom w:val="none" w:sz="0" w:space="0" w:color="auto"/>
            <w:right w:val="none" w:sz="0" w:space="0" w:color="auto"/>
          </w:divBdr>
          <w:divsChild>
            <w:div w:id="345521783">
              <w:marLeft w:val="0"/>
              <w:marRight w:val="0"/>
              <w:marTop w:val="0"/>
              <w:marBottom w:val="0"/>
              <w:divBdr>
                <w:top w:val="none" w:sz="0" w:space="0" w:color="auto"/>
                <w:left w:val="none" w:sz="0" w:space="0" w:color="auto"/>
                <w:bottom w:val="none" w:sz="0" w:space="0" w:color="auto"/>
                <w:right w:val="none" w:sz="0" w:space="0" w:color="auto"/>
              </w:divBdr>
            </w:div>
          </w:divsChild>
        </w:div>
        <w:div w:id="128665955">
          <w:marLeft w:val="0"/>
          <w:marRight w:val="0"/>
          <w:marTop w:val="0"/>
          <w:marBottom w:val="0"/>
          <w:divBdr>
            <w:top w:val="none" w:sz="0" w:space="0" w:color="auto"/>
            <w:left w:val="none" w:sz="0" w:space="0" w:color="auto"/>
            <w:bottom w:val="none" w:sz="0" w:space="0" w:color="auto"/>
            <w:right w:val="none" w:sz="0" w:space="0" w:color="auto"/>
          </w:divBdr>
          <w:divsChild>
            <w:div w:id="2029018886">
              <w:marLeft w:val="0"/>
              <w:marRight w:val="0"/>
              <w:marTop w:val="0"/>
              <w:marBottom w:val="0"/>
              <w:divBdr>
                <w:top w:val="none" w:sz="0" w:space="0" w:color="auto"/>
                <w:left w:val="none" w:sz="0" w:space="0" w:color="auto"/>
                <w:bottom w:val="none" w:sz="0" w:space="0" w:color="auto"/>
                <w:right w:val="none" w:sz="0" w:space="0" w:color="auto"/>
              </w:divBdr>
            </w:div>
          </w:divsChild>
        </w:div>
        <w:div w:id="2131246022">
          <w:marLeft w:val="0"/>
          <w:marRight w:val="0"/>
          <w:marTop w:val="0"/>
          <w:marBottom w:val="0"/>
          <w:divBdr>
            <w:top w:val="none" w:sz="0" w:space="0" w:color="auto"/>
            <w:left w:val="none" w:sz="0" w:space="0" w:color="auto"/>
            <w:bottom w:val="none" w:sz="0" w:space="0" w:color="auto"/>
            <w:right w:val="none" w:sz="0" w:space="0" w:color="auto"/>
          </w:divBdr>
          <w:divsChild>
            <w:div w:id="2039349565">
              <w:marLeft w:val="0"/>
              <w:marRight w:val="0"/>
              <w:marTop w:val="0"/>
              <w:marBottom w:val="0"/>
              <w:divBdr>
                <w:top w:val="none" w:sz="0" w:space="0" w:color="auto"/>
                <w:left w:val="none" w:sz="0" w:space="0" w:color="auto"/>
                <w:bottom w:val="none" w:sz="0" w:space="0" w:color="auto"/>
                <w:right w:val="none" w:sz="0" w:space="0" w:color="auto"/>
              </w:divBdr>
            </w:div>
          </w:divsChild>
        </w:div>
        <w:div w:id="2097821690">
          <w:marLeft w:val="0"/>
          <w:marRight w:val="0"/>
          <w:marTop w:val="0"/>
          <w:marBottom w:val="0"/>
          <w:divBdr>
            <w:top w:val="none" w:sz="0" w:space="0" w:color="auto"/>
            <w:left w:val="none" w:sz="0" w:space="0" w:color="auto"/>
            <w:bottom w:val="none" w:sz="0" w:space="0" w:color="auto"/>
            <w:right w:val="none" w:sz="0" w:space="0" w:color="auto"/>
          </w:divBdr>
          <w:divsChild>
            <w:div w:id="1183478432">
              <w:marLeft w:val="0"/>
              <w:marRight w:val="0"/>
              <w:marTop w:val="0"/>
              <w:marBottom w:val="0"/>
              <w:divBdr>
                <w:top w:val="none" w:sz="0" w:space="0" w:color="auto"/>
                <w:left w:val="none" w:sz="0" w:space="0" w:color="auto"/>
                <w:bottom w:val="none" w:sz="0" w:space="0" w:color="auto"/>
                <w:right w:val="none" w:sz="0" w:space="0" w:color="auto"/>
              </w:divBdr>
            </w:div>
          </w:divsChild>
        </w:div>
        <w:div w:id="1906183855">
          <w:marLeft w:val="0"/>
          <w:marRight w:val="0"/>
          <w:marTop w:val="0"/>
          <w:marBottom w:val="0"/>
          <w:divBdr>
            <w:top w:val="none" w:sz="0" w:space="0" w:color="auto"/>
            <w:left w:val="none" w:sz="0" w:space="0" w:color="auto"/>
            <w:bottom w:val="none" w:sz="0" w:space="0" w:color="auto"/>
            <w:right w:val="none" w:sz="0" w:space="0" w:color="auto"/>
          </w:divBdr>
          <w:divsChild>
            <w:div w:id="2125222357">
              <w:marLeft w:val="0"/>
              <w:marRight w:val="0"/>
              <w:marTop w:val="0"/>
              <w:marBottom w:val="0"/>
              <w:divBdr>
                <w:top w:val="none" w:sz="0" w:space="0" w:color="auto"/>
                <w:left w:val="none" w:sz="0" w:space="0" w:color="auto"/>
                <w:bottom w:val="none" w:sz="0" w:space="0" w:color="auto"/>
                <w:right w:val="none" w:sz="0" w:space="0" w:color="auto"/>
              </w:divBdr>
            </w:div>
          </w:divsChild>
        </w:div>
        <w:div w:id="625353961">
          <w:marLeft w:val="0"/>
          <w:marRight w:val="0"/>
          <w:marTop w:val="0"/>
          <w:marBottom w:val="0"/>
          <w:divBdr>
            <w:top w:val="none" w:sz="0" w:space="0" w:color="auto"/>
            <w:left w:val="none" w:sz="0" w:space="0" w:color="auto"/>
            <w:bottom w:val="none" w:sz="0" w:space="0" w:color="auto"/>
            <w:right w:val="none" w:sz="0" w:space="0" w:color="auto"/>
          </w:divBdr>
          <w:divsChild>
            <w:div w:id="1724252227">
              <w:marLeft w:val="0"/>
              <w:marRight w:val="0"/>
              <w:marTop w:val="0"/>
              <w:marBottom w:val="0"/>
              <w:divBdr>
                <w:top w:val="none" w:sz="0" w:space="0" w:color="auto"/>
                <w:left w:val="none" w:sz="0" w:space="0" w:color="auto"/>
                <w:bottom w:val="none" w:sz="0" w:space="0" w:color="auto"/>
                <w:right w:val="none" w:sz="0" w:space="0" w:color="auto"/>
              </w:divBdr>
            </w:div>
          </w:divsChild>
        </w:div>
        <w:div w:id="1800030888">
          <w:marLeft w:val="0"/>
          <w:marRight w:val="0"/>
          <w:marTop w:val="0"/>
          <w:marBottom w:val="0"/>
          <w:divBdr>
            <w:top w:val="none" w:sz="0" w:space="0" w:color="auto"/>
            <w:left w:val="none" w:sz="0" w:space="0" w:color="auto"/>
            <w:bottom w:val="none" w:sz="0" w:space="0" w:color="auto"/>
            <w:right w:val="none" w:sz="0" w:space="0" w:color="auto"/>
          </w:divBdr>
          <w:divsChild>
            <w:div w:id="50543906">
              <w:marLeft w:val="0"/>
              <w:marRight w:val="0"/>
              <w:marTop w:val="0"/>
              <w:marBottom w:val="0"/>
              <w:divBdr>
                <w:top w:val="none" w:sz="0" w:space="0" w:color="auto"/>
                <w:left w:val="none" w:sz="0" w:space="0" w:color="auto"/>
                <w:bottom w:val="none" w:sz="0" w:space="0" w:color="auto"/>
                <w:right w:val="none" w:sz="0" w:space="0" w:color="auto"/>
              </w:divBdr>
            </w:div>
          </w:divsChild>
        </w:div>
        <w:div w:id="492334224">
          <w:marLeft w:val="0"/>
          <w:marRight w:val="0"/>
          <w:marTop w:val="0"/>
          <w:marBottom w:val="0"/>
          <w:divBdr>
            <w:top w:val="none" w:sz="0" w:space="0" w:color="auto"/>
            <w:left w:val="none" w:sz="0" w:space="0" w:color="auto"/>
            <w:bottom w:val="none" w:sz="0" w:space="0" w:color="auto"/>
            <w:right w:val="none" w:sz="0" w:space="0" w:color="auto"/>
          </w:divBdr>
          <w:divsChild>
            <w:div w:id="762409873">
              <w:marLeft w:val="0"/>
              <w:marRight w:val="0"/>
              <w:marTop w:val="0"/>
              <w:marBottom w:val="0"/>
              <w:divBdr>
                <w:top w:val="none" w:sz="0" w:space="0" w:color="auto"/>
                <w:left w:val="none" w:sz="0" w:space="0" w:color="auto"/>
                <w:bottom w:val="none" w:sz="0" w:space="0" w:color="auto"/>
                <w:right w:val="none" w:sz="0" w:space="0" w:color="auto"/>
              </w:divBdr>
            </w:div>
          </w:divsChild>
        </w:div>
        <w:div w:id="1761368203">
          <w:marLeft w:val="0"/>
          <w:marRight w:val="0"/>
          <w:marTop w:val="0"/>
          <w:marBottom w:val="0"/>
          <w:divBdr>
            <w:top w:val="none" w:sz="0" w:space="0" w:color="auto"/>
            <w:left w:val="none" w:sz="0" w:space="0" w:color="auto"/>
            <w:bottom w:val="none" w:sz="0" w:space="0" w:color="auto"/>
            <w:right w:val="none" w:sz="0" w:space="0" w:color="auto"/>
          </w:divBdr>
          <w:divsChild>
            <w:div w:id="1834419313">
              <w:marLeft w:val="0"/>
              <w:marRight w:val="0"/>
              <w:marTop w:val="0"/>
              <w:marBottom w:val="0"/>
              <w:divBdr>
                <w:top w:val="none" w:sz="0" w:space="0" w:color="auto"/>
                <w:left w:val="none" w:sz="0" w:space="0" w:color="auto"/>
                <w:bottom w:val="none" w:sz="0" w:space="0" w:color="auto"/>
                <w:right w:val="none" w:sz="0" w:space="0" w:color="auto"/>
              </w:divBdr>
            </w:div>
          </w:divsChild>
        </w:div>
        <w:div w:id="2061399382">
          <w:marLeft w:val="0"/>
          <w:marRight w:val="0"/>
          <w:marTop w:val="0"/>
          <w:marBottom w:val="0"/>
          <w:divBdr>
            <w:top w:val="none" w:sz="0" w:space="0" w:color="auto"/>
            <w:left w:val="none" w:sz="0" w:space="0" w:color="auto"/>
            <w:bottom w:val="none" w:sz="0" w:space="0" w:color="auto"/>
            <w:right w:val="none" w:sz="0" w:space="0" w:color="auto"/>
          </w:divBdr>
          <w:divsChild>
            <w:div w:id="1799257584">
              <w:marLeft w:val="0"/>
              <w:marRight w:val="0"/>
              <w:marTop w:val="0"/>
              <w:marBottom w:val="0"/>
              <w:divBdr>
                <w:top w:val="none" w:sz="0" w:space="0" w:color="auto"/>
                <w:left w:val="none" w:sz="0" w:space="0" w:color="auto"/>
                <w:bottom w:val="none" w:sz="0" w:space="0" w:color="auto"/>
                <w:right w:val="none" w:sz="0" w:space="0" w:color="auto"/>
              </w:divBdr>
            </w:div>
          </w:divsChild>
        </w:div>
        <w:div w:id="1106189992">
          <w:marLeft w:val="0"/>
          <w:marRight w:val="0"/>
          <w:marTop w:val="0"/>
          <w:marBottom w:val="0"/>
          <w:divBdr>
            <w:top w:val="none" w:sz="0" w:space="0" w:color="auto"/>
            <w:left w:val="none" w:sz="0" w:space="0" w:color="auto"/>
            <w:bottom w:val="none" w:sz="0" w:space="0" w:color="auto"/>
            <w:right w:val="none" w:sz="0" w:space="0" w:color="auto"/>
          </w:divBdr>
          <w:divsChild>
            <w:div w:id="13658755">
              <w:marLeft w:val="0"/>
              <w:marRight w:val="0"/>
              <w:marTop w:val="0"/>
              <w:marBottom w:val="0"/>
              <w:divBdr>
                <w:top w:val="none" w:sz="0" w:space="0" w:color="auto"/>
                <w:left w:val="none" w:sz="0" w:space="0" w:color="auto"/>
                <w:bottom w:val="none" w:sz="0" w:space="0" w:color="auto"/>
                <w:right w:val="none" w:sz="0" w:space="0" w:color="auto"/>
              </w:divBdr>
            </w:div>
          </w:divsChild>
        </w:div>
        <w:div w:id="515845192">
          <w:marLeft w:val="0"/>
          <w:marRight w:val="0"/>
          <w:marTop w:val="0"/>
          <w:marBottom w:val="0"/>
          <w:divBdr>
            <w:top w:val="none" w:sz="0" w:space="0" w:color="auto"/>
            <w:left w:val="none" w:sz="0" w:space="0" w:color="auto"/>
            <w:bottom w:val="none" w:sz="0" w:space="0" w:color="auto"/>
            <w:right w:val="none" w:sz="0" w:space="0" w:color="auto"/>
          </w:divBdr>
          <w:divsChild>
            <w:div w:id="315376452">
              <w:marLeft w:val="0"/>
              <w:marRight w:val="0"/>
              <w:marTop w:val="0"/>
              <w:marBottom w:val="0"/>
              <w:divBdr>
                <w:top w:val="none" w:sz="0" w:space="0" w:color="auto"/>
                <w:left w:val="none" w:sz="0" w:space="0" w:color="auto"/>
                <w:bottom w:val="none" w:sz="0" w:space="0" w:color="auto"/>
                <w:right w:val="none" w:sz="0" w:space="0" w:color="auto"/>
              </w:divBdr>
            </w:div>
          </w:divsChild>
        </w:div>
        <w:div w:id="631443318">
          <w:marLeft w:val="0"/>
          <w:marRight w:val="0"/>
          <w:marTop w:val="0"/>
          <w:marBottom w:val="0"/>
          <w:divBdr>
            <w:top w:val="none" w:sz="0" w:space="0" w:color="auto"/>
            <w:left w:val="none" w:sz="0" w:space="0" w:color="auto"/>
            <w:bottom w:val="none" w:sz="0" w:space="0" w:color="auto"/>
            <w:right w:val="none" w:sz="0" w:space="0" w:color="auto"/>
          </w:divBdr>
          <w:divsChild>
            <w:div w:id="1277642624">
              <w:marLeft w:val="0"/>
              <w:marRight w:val="0"/>
              <w:marTop w:val="0"/>
              <w:marBottom w:val="0"/>
              <w:divBdr>
                <w:top w:val="none" w:sz="0" w:space="0" w:color="auto"/>
                <w:left w:val="none" w:sz="0" w:space="0" w:color="auto"/>
                <w:bottom w:val="none" w:sz="0" w:space="0" w:color="auto"/>
                <w:right w:val="none" w:sz="0" w:space="0" w:color="auto"/>
              </w:divBdr>
            </w:div>
          </w:divsChild>
        </w:div>
        <w:div w:id="1698189901">
          <w:marLeft w:val="0"/>
          <w:marRight w:val="0"/>
          <w:marTop w:val="0"/>
          <w:marBottom w:val="0"/>
          <w:divBdr>
            <w:top w:val="none" w:sz="0" w:space="0" w:color="auto"/>
            <w:left w:val="none" w:sz="0" w:space="0" w:color="auto"/>
            <w:bottom w:val="none" w:sz="0" w:space="0" w:color="auto"/>
            <w:right w:val="none" w:sz="0" w:space="0" w:color="auto"/>
          </w:divBdr>
          <w:divsChild>
            <w:div w:id="1093281644">
              <w:marLeft w:val="0"/>
              <w:marRight w:val="0"/>
              <w:marTop w:val="0"/>
              <w:marBottom w:val="0"/>
              <w:divBdr>
                <w:top w:val="none" w:sz="0" w:space="0" w:color="auto"/>
                <w:left w:val="none" w:sz="0" w:space="0" w:color="auto"/>
                <w:bottom w:val="none" w:sz="0" w:space="0" w:color="auto"/>
                <w:right w:val="none" w:sz="0" w:space="0" w:color="auto"/>
              </w:divBdr>
            </w:div>
          </w:divsChild>
        </w:div>
        <w:div w:id="1034892919">
          <w:marLeft w:val="0"/>
          <w:marRight w:val="0"/>
          <w:marTop w:val="0"/>
          <w:marBottom w:val="0"/>
          <w:divBdr>
            <w:top w:val="none" w:sz="0" w:space="0" w:color="auto"/>
            <w:left w:val="none" w:sz="0" w:space="0" w:color="auto"/>
            <w:bottom w:val="none" w:sz="0" w:space="0" w:color="auto"/>
            <w:right w:val="none" w:sz="0" w:space="0" w:color="auto"/>
          </w:divBdr>
          <w:divsChild>
            <w:div w:id="105269375">
              <w:marLeft w:val="0"/>
              <w:marRight w:val="0"/>
              <w:marTop w:val="0"/>
              <w:marBottom w:val="0"/>
              <w:divBdr>
                <w:top w:val="none" w:sz="0" w:space="0" w:color="auto"/>
                <w:left w:val="none" w:sz="0" w:space="0" w:color="auto"/>
                <w:bottom w:val="none" w:sz="0" w:space="0" w:color="auto"/>
                <w:right w:val="none" w:sz="0" w:space="0" w:color="auto"/>
              </w:divBdr>
            </w:div>
          </w:divsChild>
        </w:div>
        <w:div w:id="385447720">
          <w:marLeft w:val="0"/>
          <w:marRight w:val="0"/>
          <w:marTop w:val="0"/>
          <w:marBottom w:val="0"/>
          <w:divBdr>
            <w:top w:val="none" w:sz="0" w:space="0" w:color="auto"/>
            <w:left w:val="none" w:sz="0" w:space="0" w:color="auto"/>
            <w:bottom w:val="none" w:sz="0" w:space="0" w:color="auto"/>
            <w:right w:val="none" w:sz="0" w:space="0" w:color="auto"/>
          </w:divBdr>
          <w:divsChild>
            <w:div w:id="124663956">
              <w:marLeft w:val="0"/>
              <w:marRight w:val="0"/>
              <w:marTop w:val="0"/>
              <w:marBottom w:val="0"/>
              <w:divBdr>
                <w:top w:val="none" w:sz="0" w:space="0" w:color="auto"/>
                <w:left w:val="none" w:sz="0" w:space="0" w:color="auto"/>
                <w:bottom w:val="none" w:sz="0" w:space="0" w:color="auto"/>
                <w:right w:val="none" w:sz="0" w:space="0" w:color="auto"/>
              </w:divBdr>
            </w:div>
          </w:divsChild>
        </w:div>
        <w:div w:id="1422679794">
          <w:marLeft w:val="0"/>
          <w:marRight w:val="0"/>
          <w:marTop w:val="0"/>
          <w:marBottom w:val="0"/>
          <w:divBdr>
            <w:top w:val="none" w:sz="0" w:space="0" w:color="auto"/>
            <w:left w:val="none" w:sz="0" w:space="0" w:color="auto"/>
            <w:bottom w:val="none" w:sz="0" w:space="0" w:color="auto"/>
            <w:right w:val="none" w:sz="0" w:space="0" w:color="auto"/>
          </w:divBdr>
          <w:divsChild>
            <w:div w:id="1423527426">
              <w:marLeft w:val="0"/>
              <w:marRight w:val="0"/>
              <w:marTop w:val="0"/>
              <w:marBottom w:val="0"/>
              <w:divBdr>
                <w:top w:val="none" w:sz="0" w:space="0" w:color="auto"/>
                <w:left w:val="none" w:sz="0" w:space="0" w:color="auto"/>
                <w:bottom w:val="none" w:sz="0" w:space="0" w:color="auto"/>
                <w:right w:val="none" w:sz="0" w:space="0" w:color="auto"/>
              </w:divBdr>
            </w:div>
          </w:divsChild>
        </w:div>
        <w:div w:id="733814762">
          <w:marLeft w:val="0"/>
          <w:marRight w:val="0"/>
          <w:marTop w:val="0"/>
          <w:marBottom w:val="0"/>
          <w:divBdr>
            <w:top w:val="none" w:sz="0" w:space="0" w:color="auto"/>
            <w:left w:val="none" w:sz="0" w:space="0" w:color="auto"/>
            <w:bottom w:val="none" w:sz="0" w:space="0" w:color="auto"/>
            <w:right w:val="none" w:sz="0" w:space="0" w:color="auto"/>
          </w:divBdr>
          <w:divsChild>
            <w:div w:id="493569220">
              <w:marLeft w:val="0"/>
              <w:marRight w:val="0"/>
              <w:marTop w:val="0"/>
              <w:marBottom w:val="0"/>
              <w:divBdr>
                <w:top w:val="none" w:sz="0" w:space="0" w:color="auto"/>
                <w:left w:val="none" w:sz="0" w:space="0" w:color="auto"/>
                <w:bottom w:val="none" w:sz="0" w:space="0" w:color="auto"/>
                <w:right w:val="none" w:sz="0" w:space="0" w:color="auto"/>
              </w:divBdr>
            </w:div>
          </w:divsChild>
        </w:div>
        <w:div w:id="1702242450">
          <w:marLeft w:val="0"/>
          <w:marRight w:val="0"/>
          <w:marTop w:val="0"/>
          <w:marBottom w:val="0"/>
          <w:divBdr>
            <w:top w:val="none" w:sz="0" w:space="0" w:color="auto"/>
            <w:left w:val="none" w:sz="0" w:space="0" w:color="auto"/>
            <w:bottom w:val="none" w:sz="0" w:space="0" w:color="auto"/>
            <w:right w:val="none" w:sz="0" w:space="0" w:color="auto"/>
          </w:divBdr>
          <w:divsChild>
            <w:div w:id="1969313924">
              <w:marLeft w:val="0"/>
              <w:marRight w:val="0"/>
              <w:marTop w:val="0"/>
              <w:marBottom w:val="0"/>
              <w:divBdr>
                <w:top w:val="none" w:sz="0" w:space="0" w:color="auto"/>
                <w:left w:val="none" w:sz="0" w:space="0" w:color="auto"/>
                <w:bottom w:val="none" w:sz="0" w:space="0" w:color="auto"/>
                <w:right w:val="none" w:sz="0" w:space="0" w:color="auto"/>
              </w:divBdr>
            </w:div>
          </w:divsChild>
        </w:div>
        <w:div w:id="416751073">
          <w:marLeft w:val="0"/>
          <w:marRight w:val="0"/>
          <w:marTop w:val="0"/>
          <w:marBottom w:val="0"/>
          <w:divBdr>
            <w:top w:val="none" w:sz="0" w:space="0" w:color="auto"/>
            <w:left w:val="none" w:sz="0" w:space="0" w:color="auto"/>
            <w:bottom w:val="none" w:sz="0" w:space="0" w:color="auto"/>
            <w:right w:val="none" w:sz="0" w:space="0" w:color="auto"/>
          </w:divBdr>
          <w:divsChild>
            <w:div w:id="1778133052">
              <w:marLeft w:val="0"/>
              <w:marRight w:val="0"/>
              <w:marTop w:val="0"/>
              <w:marBottom w:val="0"/>
              <w:divBdr>
                <w:top w:val="none" w:sz="0" w:space="0" w:color="auto"/>
                <w:left w:val="none" w:sz="0" w:space="0" w:color="auto"/>
                <w:bottom w:val="none" w:sz="0" w:space="0" w:color="auto"/>
                <w:right w:val="none" w:sz="0" w:space="0" w:color="auto"/>
              </w:divBdr>
            </w:div>
          </w:divsChild>
        </w:div>
        <w:div w:id="1252468672">
          <w:marLeft w:val="0"/>
          <w:marRight w:val="0"/>
          <w:marTop w:val="0"/>
          <w:marBottom w:val="0"/>
          <w:divBdr>
            <w:top w:val="none" w:sz="0" w:space="0" w:color="auto"/>
            <w:left w:val="none" w:sz="0" w:space="0" w:color="auto"/>
            <w:bottom w:val="none" w:sz="0" w:space="0" w:color="auto"/>
            <w:right w:val="none" w:sz="0" w:space="0" w:color="auto"/>
          </w:divBdr>
          <w:divsChild>
            <w:div w:id="1418215053">
              <w:marLeft w:val="0"/>
              <w:marRight w:val="0"/>
              <w:marTop w:val="0"/>
              <w:marBottom w:val="0"/>
              <w:divBdr>
                <w:top w:val="none" w:sz="0" w:space="0" w:color="auto"/>
                <w:left w:val="none" w:sz="0" w:space="0" w:color="auto"/>
                <w:bottom w:val="none" w:sz="0" w:space="0" w:color="auto"/>
                <w:right w:val="none" w:sz="0" w:space="0" w:color="auto"/>
              </w:divBdr>
            </w:div>
          </w:divsChild>
        </w:div>
        <w:div w:id="1478498926">
          <w:marLeft w:val="0"/>
          <w:marRight w:val="0"/>
          <w:marTop w:val="0"/>
          <w:marBottom w:val="0"/>
          <w:divBdr>
            <w:top w:val="none" w:sz="0" w:space="0" w:color="auto"/>
            <w:left w:val="none" w:sz="0" w:space="0" w:color="auto"/>
            <w:bottom w:val="none" w:sz="0" w:space="0" w:color="auto"/>
            <w:right w:val="none" w:sz="0" w:space="0" w:color="auto"/>
          </w:divBdr>
          <w:divsChild>
            <w:div w:id="186262399">
              <w:marLeft w:val="0"/>
              <w:marRight w:val="0"/>
              <w:marTop w:val="0"/>
              <w:marBottom w:val="0"/>
              <w:divBdr>
                <w:top w:val="none" w:sz="0" w:space="0" w:color="auto"/>
                <w:left w:val="none" w:sz="0" w:space="0" w:color="auto"/>
                <w:bottom w:val="none" w:sz="0" w:space="0" w:color="auto"/>
                <w:right w:val="none" w:sz="0" w:space="0" w:color="auto"/>
              </w:divBdr>
            </w:div>
          </w:divsChild>
        </w:div>
        <w:div w:id="2105683716">
          <w:marLeft w:val="0"/>
          <w:marRight w:val="0"/>
          <w:marTop w:val="0"/>
          <w:marBottom w:val="0"/>
          <w:divBdr>
            <w:top w:val="none" w:sz="0" w:space="0" w:color="auto"/>
            <w:left w:val="none" w:sz="0" w:space="0" w:color="auto"/>
            <w:bottom w:val="none" w:sz="0" w:space="0" w:color="auto"/>
            <w:right w:val="none" w:sz="0" w:space="0" w:color="auto"/>
          </w:divBdr>
          <w:divsChild>
            <w:div w:id="151217132">
              <w:marLeft w:val="0"/>
              <w:marRight w:val="0"/>
              <w:marTop w:val="0"/>
              <w:marBottom w:val="0"/>
              <w:divBdr>
                <w:top w:val="none" w:sz="0" w:space="0" w:color="auto"/>
                <w:left w:val="none" w:sz="0" w:space="0" w:color="auto"/>
                <w:bottom w:val="none" w:sz="0" w:space="0" w:color="auto"/>
                <w:right w:val="none" w:sz="0" w:space="0" w:color="auto"/>
              </w:divBdr>
            </w:div>
          </w:divsChild>
        </w:div>
        <w:div w:id="1564174747">
          <w:marLeft w:val="0"/>
          <w:marRight w:val="0"/>
          <w:marTop w:val="0"/>
          <w:marBottom w:val="0"/>
          <w:divBdr>
            <w:top w:val="none" w:sz="0" w:space="0" w:color="auto"/>
            <w:left w:val="none" w:sz="0" w:space="0" w:color="auto"/>
            <w:bottom w:val="none" w:sz="0" w:space="0" w:color="auto"/>
            <w:right w:val="none" w:sz="0" w:space="0" w:color="auto"/>
          </w:divBdr>
          <w:divsChild>
            <w:div w:id="1388459167">
              <w:marLeft w:val="0"/>
              <w:marRight w:val="0"/>
              <w:marTop w:val="0"/>
              <w:marBottom w:val="0"/>
              <w:divBdr>
                <w:top w:val="none" w:sz="0" w:space="0" w:color="auto"/>
                <w:left w:val="none" w:sz="0" w:space="0" w:color="auto"/>
                <w:bottom w:val="none" w:sz="0" w:space="0" w:color="auto"/>
                <w:right w:val="none" w:sz="0" w:space="0" w:color="auto"/>
              </w:divBdr>
            </w:div>
          </w:divsChild>
        </w:div>
        <w:div w:id="707947883">
          <w:marLeft w:val="0"/>
          <w:marRight w:val="0"/>
          <w:marTop w:val="0"/>
          <w:marBottom w:val="0"/>
          <w:divBdr>
            <w:top w:val="none" w:sz="0" w:space="0" w:color="auto"/>
            <w:left w:val="none" w:sz="0" w:space="0" w:color="auto"/>
            <w:bottom w:val="none" w:sz="0" w:space="0" w:color="auto"/>
            <w:right w:val="none" w:sz="0" w:space="0" w:color="auto"/>
          </w:divBdr>
          <w:divsChild>
            <w:div w:id="2090342132">
              <w:marLeft w:val="0"/>
              <w:marRight w:val="0"/>
              <w:marTop w:val="0"/>
              <w:marBottom w:val="0"/>
              <w:divBdr>
                <w:top w:val="none" w:sz="0" w:space="0" w:color="auto"/>
                <w:left w:val="none" w:sz="0" w:space="0" w:color="auto"/>
                <w:bottom w:val="none" w:sz="0" w:space="0" w:color="auto"/>
                <w:right w:val="none" w:sz="0" w:space="0" w:color="auto"/>
              </w:divBdr>
            </w:div>
          </w:divsChild>
        </w:div>
        <w:div w:id="1512257642">
          <w:marLeft w:val="0"/>
          <w:marRight w:val="0"/>
          <w:marTop w:val="0"/>
          <w:marBottom w:val="0"/>
          <w:divBdr>
            <w:top w:val="none" w:sz="0" w:space="0" w:color="auto"/>
            <w:left w:val="none" w:sz="0" w:space="0" w:color="auto"/>
            <w:bottom w:val="none" w:sz="0" w:space="0" w:color="auto"/>
            <w:right w:val="none" w:sz="0" w:space="0" w:color="auto"/>
          </w:divBdr>
          <w:divsChild>
            <w:div w:id="1112476835">
              <w:marLeft w:val="0"/>
              <w:marRight w:val="0"/>
              <w:marTop w:val="0"/>
              <w:marBottom w:val="0"/>
              <w:divBdr>
                <w:top w:val="none" w:sz="0" w:space="0" w:color="auto"/>
                <w:left w:val="none" w:sz="0" w:space="0" w:color="auto"/>
                <w:bottom w:val="none" w:sz="0" w:space="0" w:color="auto"/>
                <w:right w:val="none" w:sz="0" w:space="0" w:color="auto"/>
              </w:divBdr>
            </w:div>
          </w:divsChild>
        </w:div>
        <w:div w:id="1899781970">
          <w:marLeft w:val="0"/>
          <w:marRight w:val="0"/>
          <w:marTop w:val="0"/>
          <w:marBottom w:val="0"/>
          <w:divBdr>
            <w:top w:val="none" w:sz="0" w:space="0" w:color="auto"/>
            <w:left w:val="none" w:sz="0" w:space="0" w:color="auto"/>
            <w:bottom w:val="none" w:sz="0" w:space="0" w:color="auto"/>
            <w:right w:val="none" w:sz="0" w:space="0" w:color="auto"/>
          </w:divBdr>
          <w:divsChild>
            <w:div w:id="1425690596">
              <w:marLeft w:val="0"/>
              <w:marRight w:val="0"/>
              <w:marTop w:val="0"/>
              <w:marBottom w:val="0"/>
              <w:divBdr>
                <w:top w:val="none" w:sz="0" w:space="0" w:color="auto"/>
                <w:left w:val="none" w:sz="0" w:space="0" w:color="auto"/>
                <w:bottom w:val="none" w:sz="0" w:space="0" w:color="auto"/>
                <w:right w:val="none" w:sz="0" w:space="0" w:color="auto"/>
              </w:divBdr>
            </w:div>
          </w:divsChild>
        </w:div>
        <w:div w:id="1663897516">
          <w:marLeft w:val="0"/>
          <w:marRight w:val="0"/>
          <w:marTop w:val="0"/>
          <w:marBottom w:val="0"/>
          <w:divBdr>
            <w:top w:val="none" w:sz="0" w:space="0" w:color="auto"/>
            <w:left w:val="none" w:sz="0" w:space="0" w:color="auto"/>
            <w:bottom w:val="none" w:sz="0" w:space="0" w:color="auto"/>
            <w:right w:val="none" w:sz="0" w:space="0" w:color="auto"/>
          </w:divBdr>
          <w:divsChild>
            <w:div w:id="1854684048">
              <w:marLeft w:val="0"/>
              <w:marRight w:val="0"/>
              <w:marTop w:val="0"/>
              <w:marBottom w:val="0"/>
              <w:divBdr>
                <w:top w:val="none" w:sz="0" w:space="0" w:color="auto"/>
                <w:left w:val="none" w:sz="0" w:space="0" w:color="auto"/>
                <w:bottom w:val="none" w:sz="0" w:space="0" w:color="auto"/>
                <w:right w:val="none" w:sz="0" w:space="0" w:color="auto"/>
              </w:divBdr>
            </w:div>
            <w:div w:id="467554949">
              <w:marLeft w:val="0"/>
              <w:marRight w:val="0"/>
              <w:marTop w:val="0"/>
              <w:marBottom w:val="0"/>
              <w:divBdr>
                <w:top w:val="none" w:sz="0" w:space="0" w:color="auto"/>
                <w:left w:val="none" w:sz="0" w:space="0" w:color="auto"/>
                <w:bottom w:val="none" w:sz="0" w:space="0" w:color="auto"/>
                <w:right w:val="none" w:sz="0" w:space="0" w:color="auto"/>
              </w:divBdr>
            </w:div>
          </w:divsChild>
        </w:div>
        <w:div w:id="1789155">
          <w:marLeft w:val="0"/>
          <w:marRight w:val="0"/>
          <w:marTop w:val="0"/>
          <w:marBottom w:val="0"/>
          <w:divBdr>
            <w:top w:val="none" w:sz="0" w:space="0" w:color="auto"/>
            <w:left w:val="none" w:sz="0" w:space="0" w:color="auto"/>
            <w:bottom w:val="none" w:sz="0" w:space="0" w:color="auto"/>
            <w:right w:val="none" w:sz="0" w:space="0" w:color="auto"/>
          </w:divBdr>
          <w:divsChild>
            <w:div w:id="1362317728">
              <w:marLeft w:val="0"/>
              <w:marRight w:val="0"/>
              <w:marTop w:val="0"/>
              <w:marBottom w:val="0"/>
              <w:divBdr>
                <w:top w:val="none" w:sz="0" w:space="0" w:color="auto"/>
                <w:left w:val="none" w:sz="0" w:space="0" w:color="auto"/>
                <w:bottom w:val="none" w:sz="0" w:space="0" w:color="auto"/>
                <w:right w:val="none" w:sz="0" w:space="0" w:color="auto"/>
              </w:divBdr>
            </w:div>
          </w:divsChild>
        </w:div>
        <w:div w:id="1023291167">
          <w:marLeft w:val="0"/>
          <w:marRight w:val="0"/>
          <w:marTop w:val="0"/>
          <w:marBottom w:val="0"/>
          <w:divBdr>
            <w:top w:val="none" w:sz="0" w:space="0" w:color="auto"/>
            <w:left w:val="none" w:sz="0" w:space="0" w:color="auto"/>
            <w:bottom w:val="none" w:sz="0" w:space="0" w:color="auto"/>
            <w:right w:val="none" w:sz="0" w:space="0" w:color="auto"/>
          </w:divBdr>
          <w:divsChild>
            <w:div w:id="1274895906">
              <w:marLeft w:val="0"/>
              <w:marRight w:val="0"/>
              <w:marTop w:val="0"/>
              <w:marBottom w:val="0"/>
              <w:divBdr>
                <w:top w:val="none" w:sz="0" w:space="0" w:color="auto"/>
                <w:left w:val="none" w:sz="0" w:space="0" w:color="auto"/>
                <w:bottom w:val="none" w:sz="0" w:space="0" w:color="auto"/>
                <w:right w:val="none" w:sz="0" w:space="0" w:color="auto"/>
              </w:divBdr>
            </w:div>
            <w:div w:id="1801848474">
              <w:marLeft w:val="0"/>
              <w:marRight w:val="0"/>
              <w:marTop w:val="0"/>
              <w:marBottom w:val="0"/>
              <w:divBdr>
                <w:top w:val="none" w:sz="0" w:space="0" w:color="auto"/>
                <w:left w:val="none" w:sz="0" w:space="0" w:color="auto"/>
                <w:bottom w:val="none" w:sz="0" w:space="0" w:color="auto"/>
                <w:right w:val="none" w:sz="0" w:space="0" w:color="auto"/>
              </w:divBdr>
            </w:div>
          </w:divsChild>
        </w:div>
        <w:div w:id="930510464">
          <w:marLeft w:val="0"/>
          <w:marRight w:val="0"/>
          <w:marTop w:val="0"/>
          <w:marBottom w:val="0"/>
          <w:divBdr>
            <w:top w:val="none" w:sz="0" w:space="0" w:color="auto"/>
            <w:left w:val="none" w:sz="0" w:space="0" w:color="auto"/>
            <w:bottom w:val="none" w:sz="0" w:space="0" w:color="auto"/>
            <w:right w:val="none" w:sz="0" w:space="0" w:color="auto"/>
          </w:divBdr>
          <w:divsChild>
            <w:div w:id="1514950553">
              <w:marLeft w:val="0"/>
              <w:marRight w:val="0"/>
              <w:marTop w:val="0"/>
              <w:marBottom w:val="0"/>
              <w:divBdr>
                <w:top w:val="none" w:sz="0" w:space="0" w:color="auto"/>
                <w:left w:val="none" w:sz="0" w:space="0" w:color="auto"/>
                <w:bottom w:val="none" w:sz="0" w:space="0" w:color="auto"/>
                <w:right w:val="none" w:sz="0" w:space="0" w:color="auto"/>
              </w:divBdr>
            </w:div>
          </w:divsChild>
        </w:div>
        <w:div w:id="516970376">
          <w:marLeft w:val="0"/>
          <w:marRight w:val="0"/>
          <w:marTop w:val="0"/>
          <w:marBottom w:val="0"/>
          <w:divBdr>
            <w:top w:val="none" w:sz="0" w:space="0" w:color="auto"/>
            <w:left w:val="none" w:sz="0" w:space="0" w:color="auto"/>
            <w:bottom w:val="none" w:sz="0" w:space="0" w:color="auto"/>
            <w:right w:val="none" w:sz="0" w:space="0" w:color="auto"/>
          </w:divBdr>
          <w:divsChild>
            <w:div w:id="821241222">
              <w:marLeft w:val="0"/>
              <w:marRight w:val="0"/>
              <w:marTop w:val="0"/>
              <w:marBottom w:val="0"/>
              <w:divBdr>
                <w:top w:val="none" w:sz="0" w:space="0" w:color="auto"/>
                <w:left w:val="none" w:sz="0" w:space="0" w:color="auto"/>
                <w:bottom w:val="none" w:sz="0" w:space="0" w:color="auto"/>
                <w:right w:val="none" w:sz="0" w:space="0" w:color="auto"/>
              </w:divBdr>
            </w:div>
          </w:divsChild>
        </w:div>
        <w:div w:id="1180587020">
          <w:marLeft w:val="0"/>
          <w:marRight w:val="0"/>
          <w:marTop w:val="0"/>
          <w:marBottom w:val="0"/>
          <w:divBdr>
            <w:top w:val="none" w:sz="0" w:space="0" w:color="auto"/>
            <w:left w:val="none" w:sz="0" w:space="0" w:color="auto"/>
            <w:bottom w:val="none" w:sz="0" w:space="0" w:color="auto"/>
            <w:right w:val="none" w:sz="0" w:space="0" w:color="auto"/>
          </w:divBdr>
          <w:divsChild>
            <w:div w:id="728574630">
              <w:marLeft w:val="0"/>
              <w:marRight w:val="0"/>
              <w:marTop w:val="0"/>
              <w:marBottom w:val="0"/>
              <w:divBdr>
                <w:top w:val="none" w:sz="0" w:space="0" w:color="auto"/>
                <w:left w:val="none" w:sz="0" w:space="0" w:color="auto"/>
                <w:bottom w:val="none" w:sz="0" w:space="0" w:color="auto"/>
                <w:right w:val="none" w:sz="0" w:space="0" w:color="auto"/>
              </w:divBdr>
            </w:div>
          </w:divsChild>
        </w:div>
        <w:div w:id="1543245596">
          <w:marLeft w:val="0"/>
          <w:marRight w:val="0"/>
          <w:marTop w:val="0"/>
          <w:marBottom w:val="0"/>
          <w:divBdr>
            <w:top w:val="none" w:sz="0" w:space="0" w:color="auto"/>
            <w:left w:val="none" w:sz="0" w:space="0" w:color="auto"/>
            <w:bottom w:val="none" w:sz="0" w:space="0" w:color="auto"/>
            <w:right w:val="none" w:sz="0" w:space="0" w:color="auto"/>
          </w:divBdr>
          <w:divsChild>
            <w:div w:id="1955820765">
              <w:marLeft w:val="0"/>
              <w:marRight w:val="0"/>
              <w:marTop w:val="0"/>
              <w:marBottom w:val="0"/>
              <w:divBdr>
                <w:top w:val="none" w:sz="0" w:space="0" w:color="auto"/>
                <w:left w:val="none" w:sz="0" w:space="0" w:color="auto"/>
                <w:bottom w:val="none" w:sz="0" w:space="0" w:color="auto"/>
                <w:right w:val="none" w:sz="0" w:space="0" w:color="auto"/>
              </w:divBdr>
            </w:div>
          </w:divsChild>
        </w:div>
        <w:div w:id="1646201324">
          <w:marLeft w:val="0"/>
          <w:marRight w:val="0"/>
          <w:marTop w:val="0"/>
          <w:marBottom w:val="0"/>
          <w:divBdr>
            <w:top w:val="none" w:sz="0" w:space="0" w:color="auto"/>
            <w:left w:val="none" w:sz="0" w:space="0" w:color="auto"/>
            <w:bottom w:val="none" w:sz="0" w:space="0" w:color="auto"/>
            <w:right w:val="none" w:sz="0" w:space="0" w:color="auto"/>
          </w:divBdr>
          <w:divsChild>
            <w:div w:id="787743073">
              <w:marLeft w:val="0"/>
              <w:marRight w:val="0"/>
              <w:marTop w:val="0"/>
              <w:marBottom w:val="0"/>
              <w:divBdr>
                <w:top w:val="none" w:sz="0" w:space="0" w:color="auto"/>
                <w:left w:val="none" w:sz="0" w:space="0" w:color="auto"/>
                <w:bottom w:val="none" w:sz="0" w:space="0" w:color="auto"/>
                <w:right w:val="none" w:sz="0" w:space="0" w:color="auto"/>
              </w:divBdr>
            </w:div>
          </w:divsChild>
        </w:div>
        <w:div w:id="1518621223">
          <w:marLeft w:val="0"/>
          <w:marRight w:val="0"/>
          <w:marTop w:val="0"/>
          <w:marBottom w:val="0"/>
          <w:divBdr>
            <w:top w:val="none" w:sz="0" w:space="0" w:color="auto"/>
            <w:left w:val="none" w:sz="0" w:space="0" w:color="auto"/>
            <w:bottom w:val="none" w:sz="0" w:space="0" w:color="auto"/>
            <w:right w:val="none" w:sz="0" w:space="0" w:color="auto"/>
          </w:divBdr>
          <w:divsChild>
            <w:div w:id="594169343">
              <w:marLeft w:val="0"/>
              <w:marRight w:val="0"/>
              <w:marTop w:val="0"/>
              <w:marBottom w:val="0"/>
              <w:divBdr>
                <w:top w:val="none" w:sz="0" w:space="0" w:color="auto"/>
                <w:left w:val="none" w:sz="0" w:space="0" w:color="auto"/>
                <w:bottom w:val="none" w:sz="0" w:space="0" w:color="auto"/>
                <w:right w:val="none" w:sz="0" w:space="0" w:color="auto"/>
              </w:divBdr>
            </w:div>
          </w:divsChild>
        </w:div>
        <w:div w:id="1381124161">
          <w:marLeft w:val="0"/>
          <w:marRight w:val="0"/>
          <w:marTop w:val="0"/>
          <w:marBottom w:val="0"/>
          <w:divBdr>
            <w:top w:val="none" w:sz="0" w:space="0" w:color="auto"/>
            <w:left w:val="none" w:sz="0" w:space="0" w:color="auto"/>
            <w:bottom w:val="none" w:sz="0" w:space="0" w:color="auto"/>
            <w:right w:val="none" w:sz="0" w:space="0" w:color="auto"/>
          </w:divBdr>
          <w:divsChild>
            <w:div w:id="1431657550">
              <w:marLeft w:val="0"/>
              <w:marRight w:val="0"/>
              <w:marTop w:val="0"/>
              <w:marBottom w:val="0"/>
              <w:divBdr>
                <w:top w:val="none" w:sz="0" w:space="0" w:color="auto"/>
                <w:left w:val="none" w:sz="0" w:space="0" w:color="auto"/>
                <w:bottom w:val="none" w:sz="0" w:space="0" w:color="auto"/>
                <w:right w:val="none" w:sz="0" w:space="0" w:color="auto"/>
              </w:divBdr>
            </w:div>
          </w:divsChild>
        </w:div>
        <w:div w:id="1716856788">
          <w:marLeft w:val="0"/>
          <w:marRight w:val="0"/>
          <w:marTop w:val="0"/>
          <w:marBottom w:val="0"/>
          <w:divBdr>
            <w:top w:val="none" w:sz="0" w:space="0" w:color="auto"/>
            <w:left w:val="none" w:sz="0" w:space="0" w:color="auto"/>
            <w:bottom w:val="none" w:sz="0" w:space="0" w:color="auto"/>
            <w:right w:val="none" w:sz="0" w:space="0" w:color="auto"/>
          </w:divBdr>
          <w:divsChild>
            <w:div w:id="1985964626">
              <w:marLeft w:val="0"/>
              <w:marRight w:val="0"/>
              <w:marTop w:val="0"/>
              <w:marBottom w:val="0"/>
              <w:divBdr>
                <w:top w:val="none" w:sz="0" w:space="0" w:color="auto"/>
                <w:left w:val="none" w:sz="0" w:space="0" w:color="auto"/>
                <w:bottom w:val="none" w:sz="0" w:space="0" w:color="auto"/>
                <w:right w:val="none" w:sz="0" w:space="0" w:color="auto"/>
              </w:divBdr>
            </w:div>
          </w:divsChild>
        </w:div>
        <w:div w:id="1922451064">
          <w:marLeft w:val="0"/>
          <w:marRight w:val="0"/>
          <w:marTop w:val="0"/>
          <w:marBottom w:val="0"/>
          <w:divBdr>
            <w:top w:val="none" w:sz="0" w:space="0" w:color="auto"/>
            <w:left w:val="none" w:sz="0" w:space="0" w:color="auto"/>
            <w:bottom w:val="none" w:sz="0" w:space="0" w:color="auto"/>
            <w:right w:val="none" w:sz="0" w:space="0" w:color="auto"/>
          </w:divBdr>
          <w:divsChild>
            <w:div w:id="2029015315">
              <w:marLeft w:val="0"/>
              <w:marRight w:val="0"/>
              <w:marTop w:val="0"/>
              <w:marBottom w:val="0"/>
              <w:divBdr>
                <w:top w:val="none" w:sz="0" w:space="0" w:color="auto"/>
                <w:left w:val="none" w:sz="0" w:space="0" w:color="auto"/>
                <w:bottom w:val="none" w:sz="0" w:space="0" w:color="auto"/>
                <w:right w:val="none" w:sz="0" w:space="0" w:color="auto"/>
              </w:divBdr>
            </w:div>
          </w:divsChild>
        </w:div>
        <w:div w:id="369499251">
          <w:marLeft w:val="0"/>
          <w:marRight w:val="0"/>
          <w:marTop w:val="0"/>
          <w:marBottom w:val="0"/>
          <w:divBdr>
            <w:top w:val="none" w:sz="0" w:space="0" w:color="auto"/>
            <w:left w:val="none" w:sz="0" w:space="0" w:color="auto"/>
            <w:bottom w:val="none" w:sz="0" w:space="0" w:color="auto"/>
            <w:right w:val="none" w:sz="0" w:space="0" w:color="auto"/>
          </w:divBdr>
          <w:divsChild>
            <w:div w:id="257449731">
              <w:marLeft w:val="0"/>
              <w:marRight w:val="0"/>
              <w:marTop w:val="0"/>
              <w:marBottom w:val="0"/>
              <w:divBdr>
                <w:top w:val="none" w:sz="0" w:space="0" w:color="auto"/>
                <w:left w:val="none" w:sz="0" w:space="0" w:color="auto"/>
                <w:bottom w:val="none" w:sz="0" w:space="0" w:color="auto"/>
                <w:right w:val="none" w:sz="0" w:space="0" w:color="auto"/>
              </w:divBdr>
            </w:div>
          </w:divsChild>
        </w:div>
        <w:div w:id="376390856">
          <w:marLeft w:val="0"/>
          <w:marRight w:val="0"/>
          <w:marTop w:val="0"/>
          <w:marBottom w:val="0"/>
          <w:divBdr>
            <w:top w:val="none" w:sz="0" w:space="0" w:color="auto"/>
            <w:left w:val="none" w:sz="0" w:space="0" w:color="auto"/>
            <w:bottom w:val="none" w:sz="0" w:space="0" w:color="auto"/>
            <w:right w:val="none" w:sz="0" w:space="0" w:color="auto"/>
          </w:divBdr>
          <w:divsChild>
            <w:div w:id="82268516">
              <w:marLeft w:val="0"/>
              <w:marRight w:val="0"/>
              <w:marTop w:val="0"/>
              <w:marBottom w:val="0"/>
              <w:divBdr>
                <w:top w:val="none" w:sz="0" w:space="0" w:color="auto"/>
                <w:left w:val="none" w:sz="0" w:space="0" w:color="auto"/>
                <w:bottom w:val="none" w:sz="0" w:space="0" w:color="auto"/>
                <w:right w:val="none" w:sz="0" w:space="0" w:color="auto"/>
              </w:divBdr>
            </w:div>
          </w:divsChild>
        </w:div>
        <w:div w:id="55670397">
          <w:marLeft w:val="0"/>
          <w:marRight w:val="0"/>
          <w:marTop w:val="0"/>
          <w:marBottom w:val="0"/>
          <w:divBdr>
            <w:top w:val="none" w:sz="0" w:space="0" w:color="auto"/>
            <w:left w:val="none" w:sz="0" w:space="0" w:color="auto"/>
            <w:bottom w:val="none" w:sz="0" w:space="0" w:color="auto"/>
            <w:right w:val="none" w:sz="0" w:space="0" w:color="auto"/>
          </w:divBdr>
          <w:divsChild>
            <w:div w:id="1453551924">
              <w:marLeft w:val="0"/>
              <w:marRight w:val="0"/>
              <w:marTop w:val="0"/>
              <w:marBottom w:val="0"/>
              <w:divBdr>
                <w:top w:val="none" w:sz="0" w:space="0" w:color="auto"/>
                <w:left w:val="none" w:sz="0" w:space="0" w:color="auto"/>
                <w:bottom w:val="none" w:sz="0" w:space="0" w:color="auto"/>
                <w:right w:val="none" w:sz="0" w:space="0" w:color="auto"/>
              </w:divBdr>
            </w:div>
          </w:divsChild>
        </w:div>
        <w:div w:id="521093447">
          <w:marLeft w:val="0"/>
          <w:marRight w:val="0"/>
          <w:marTop w:val="0"/>
          <w:marBottom w:val="0"/>
          <w:divBdr>
            <w:top w:val="none" w:sz="0" w:space="0" w:color="auto"/>
            <w:left w:val="none" w:sz="0" w:space="0" w:color="auto"/>
            <w:bottom w:val="none" w:sz="0" w:space="0" w:color="auto"/>
            <w:right w:val="none" w:sz="0" w:space="0" w:color="auto"/>
          </w:divBdr>
          <w:divsChild>
            <w:div w:id="883714720">
              <w:marLeft w:val="0"/>
              <w:marRight w:val="0"/>
              <w:marTop w:val="0"/>
              <w:marBottom w:val="0"/>
              <w:divBdr>
                <w:top w:val="none" w:sz="0" w:space="0" w:color="auto"/>
                <w:left w:val="none" w:sz="0" w:space="0" w:color="auto"/>
                <w:bottom w:val="none" w:sz="0" w:space="0" w:color="auto"/>
                <w:right w:val="none" w:sz="0" w:space="0" w:color="auto"/>
              </w:divBdr>
            </w:div>
          </w:divsChild>
        </w:div>
        <w:div w:id="1590961894">
          <w:marLeft w:val="0"/>
          <w:marRight w:val="0"/>
          <w:marTop w:val="0"/>
          <w:marBottom w:val="0"/>
          <w:divBdr>
            <w:top w:val="none" w:sz="0" w:space="0" w:color="auto"/>
            <w:left w:val="none" w:sz="0" w:space="0" w:color="auto"/>
            <w:bottom w:val="none" w:sz="0" w:space="0" w:color="auto"/>
            <w:right w:val="none" w:sz="0" w:space="0" w:color="auto"/>
          </w:divBdr>
          <w:divsChild>
            <w:div w:id="1263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18078">
      <w:bodyDiv w:val="1"/>
      <w:marLeft w:val="0"/>
      <w:marRight w:val="0"/>
      <w:marTop w:val="0"/>
      <w:marBottom w:val="0"/>
      <w:divBdr>
        <w:top w:val="none" w:sz="0" w:space="0" w:color="auto"/>
        <w:left w:val="none" w:sz="0" w:space="0" w:color="auto"/>
        <w:bottom w:val="none" w:sz="0" w:space="0" w:color="auto"/>
        <w:right w:val="none" w:sz="0" w:space="0" w:color="auto"/>
      </w:divBdr>
    </w:div>
    <w:div w:id="1516535126">
      <w:bodyDiv w:val="1"/>
      <w:marLeft w:val="0"/>
      <w:marRight w:val="0"/>
      <w:marTop w:val="0"/>
      <w:marBottom w:val="0"/>
      <w:divBdr>
        <w:top w:val="none" w:sz="0" w:space="0" w:color="auto"/>
        <w:left w:val="none" w:sz="0" w:space="0" w:color="auto"/>
        <w:bottom w:val="none" w:sz="0" w:space="0" w:color="auto"/>
        <w:right w:val="none" w:sz="0" w:space="0" w:color="auto"/>
      </w:divBdr>
    </w:div>
    <w:div w:id="1634213939">
      <w:bodyDiv w:val="1"/>
      <w:marLeft w:val="0"/>
      <w:marRight w:val="0"/>
      <w:marTop w:val="0"/>
      <w:marBottom w:val="0"/>
      <w:divBdr>
        <w:top w:val="none" w:sz="0" w:space="0" w:color="auto"/>
        <w:left w:val="none" w:sz="0" w:space="0" w:color="auto"/>
        <w:bottom w:val="none" w:sz="0" w:space="0" w:color="auto"/>
        <w:right w:val="none" w:sz="0" w:space="0" w:color="auto"/>
      </w:divBdr>
    </w:div>
    <w:div w:id="1694069160">
      <w:bodyDiv w:val="1"/>
      <w:marLeft w:val="0"/>
      <w:marRight w:val="0"/>
      <w:marTop w:val="0"/>
      <w:marBottom w:val="0"/>
      <w:divBdr>
        <w:top w:val="none" w:sz="0" w:space="0" w:color="auto"/>
        <w:left w:val="none" w:sz="0" w:space="0" w:color="auto"/>
        <w:bottom w:val="none" w:sz="0" w:space="0" w:color="auto"/>
        <w:right w:val="none" w:sz="0" w:space="0" w:color="auto"/>
      </w:divBdr>
    </w:div>
    <w:div w:id="1792363926">
      <w:bodyDiv w:val="1"/>
      <w:marLeft w:val="0"/>
      <w:marRight w:val="0"/>
      <w:marTop w:val="0"/>
      <w:marBottom w:val="0"/>
      <w:divBdr>
        <w:top w:val="none" w:sz="0" w:space="0" w:color="auto"/>
        <w:left w:val="none" w:sz="0" w:space="0" w:color="auto"/>
        <w:bottom w:val="none" w:sz="0" w:space="0" w:color="auto"/>
        <w:right w:val="none" w:sz="0" w:space="0" w:color="auto"/>
      </w:divBdr>
    </w:div>
    <w:div w:id="19267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s.uoregon.edu/addressing-academic-misconduc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vost.uoregon.edu/course-attendance-and-engagement-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oregon.edu/syllabus-requirement-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ost.uoregon.edu/canvas-us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4928539AFD0458D6C74DA73BCA243" ma:contentTypeVersion="7" ma:contentTypeDescription="Create a new document." ma:contentTypeScope="" ma:versionID="e445ceee33ca61e5a79d678da71b896a">
  <xsd:schema xmlns:xsd="http://www.w3.org/2001/XMLSchema" xmlns:xs="http://www.w3.org/2001/XMLSchema" xmlns:p="http://schemas.microsoft.com/office/2006/metadata/properties" xmlns:ns2="5d89e6d2-97cb-4696-93f9-048dc6744ea0" xmlns:ns3="b45172e6-bdb6-4f3f-a8e5-2d0d4f86e50c" targetNamespace="http://schemas.microsoft.com/office/2006/metadata/properties" ma:root="true" ma:fieldsID="2fbfd4262e2cda71c36e708be07fd44e" ns2:_="" ns3:_="">
    <xsd:import namespace="5d89e6d2-97cb-4696-93f9-048dc6744ea0"/>
    <xsd:import namespace="b45172e6-bdb6-4f3f-a8e5-2d0d4f86e5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e6d2-97cb-4696-93f9-048dc6744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172e6-bdb6-4f3f-a8e5-2d0d4f86e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d89e6d2-97cb-4696-93f9-048dc6744ea0" xsi:nil="true"/>
    <SharedWithUsers xmlns="b45172e6-bdb6-4f3f-a8e5-2d0d4f86e50c">
      <UserInfo>
        <DisplayName>Stephen Frost</DisplayName>
        <AccountId>147</AccountId>
        <AccountType/>
      </UserInfo>
      <UserInfo>
        <DisplayName>Nelson Ting</DisplayName>
        <AccountId>148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70B0-89EB-4553-8C4F-44B0FBA1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e6d2-97cb-4696-93f9-048dc6744ea0"/>
    <ds:schemaRef ds:uri="b45172e6-bdb6-4f3f-a8e5-2d0d4f86e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318BF-D496-40F6-8CBE-2382F4248B08}">
  <ds:schemaRefs>
    <ds:schemaRef ds:uri="http://schemas.microsoft.com/office/2006/metadata/properties"/>
    <ds:schemaRef ds:uri="http://schemas.microsoft.com/office/infopath/2007/PartnerControls"/>
    <ds:schemaRef ds:uri="5d89e6d2-97cb-4696-93f9-048dc6744ea0"/>
    <ds:schemaRef ds:uri="b45172e6-bdb6-4f3f-a8e5-2d0d4f86e50c"/>
  </ds:schemaRefs>
</ds:datastoreItem>
</file>

<file path=customXml/itemProps3.xml><?xml version="1.0" encoding="utf-8"?>
<ds:datastoreItem xmlns:ds="http://schemas.openxmlformats.org/officeDocument/2006/customXml" ds:itemID="{E0D14826-AD66-4874-ACA4-9BD31168B649}">
  <ds:schemaRefs>
    <ds:schemaRef ds:uri="http://schemas.microsoft.com/sharepoint/v3/contenttype/forms"/>
  </ds:schemaRefs>
</ds:datastoreItem>
</file>

<file path=customXml/itemProps4.xml><?xml version="1.0" encoding="utf-8"?>
<ds:datastoreItem xmlns:ds="http://schemas.openxmlformats.org/officeDocument/2006/customXml" ds:itemID="{B2EB5075-DA95-4F7E-9821-2CB5B7B6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5785</Words>
  <Characters>37606</Characters>
  <Application>Microsoft Office Word</Application>
  <DocSecurity>0</DocSecurity>
  <Lines>783</Lines>
  <Paragraphs>355</Paragraphs>
  <ScaleCrop>false</ScaleCrop>
  <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Dianna Carrizales-Engelmann</cp:lastModifiedBy>
  <cp:revision>2</cp:revision>
  <cp:lastPrinted>2024-04-01T14:26:00Z</cp:lastPrinted>
  <dcterms:created xsi:type="dcterms:W3CDTF">2026-01-16T20:06:00Z</dcterms:created>
  <dcterms:modified xsi:type="dcterms:W3CDTF">2026-01-16T20:06:00Z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0x010100FFD4928539AFD0458D6C74DA73BCA243</vt:lpwstr>
  </property>
</Properties>
</file>