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Spacing w:w="0" w:type="dxa"/>
        <w:shd w:val="clear" w:color="auto" w:fill="FAFAFA"/>
        <w:tblCellMar>
          <w:left w:w="0" w:type="dxa"/>
          <w:right w:w="0" w:type="dxa"/>
        </w:tblCellMar>
        <w:tblLook w:val="04A0" w:firstRow="1" w:lastRow="0" w:firstColumn="1" w:lastColumn="0" w:noHBand="0" w:noVBand="1"/>
      </w:tblPr>
      <w:tblGrid>
        <w:gridCol w:w="9360"/>
      </w:tblGrid>
      <w:tr w:rsidR="00EF0184" w:rsidRPr="00EF0184" w14:paraId="3783A72F" w14:textId="77777777" w:rsidTr="00EF0184">
        <w:trPr>
          <w:tblCellSpacing w:w="0" w:type="dxa"/>
          <w:jc w:val="center"/>
        </w:trPr>
        <w:tc>
          <w:tcPr>
            <w:tcW w:w="0" w:type="auto"/>
            <w:shd w:val="clear" w:color="auto" w:fill="FAFAFA"/>
            <w:hideMark/>
          </w:tcPr>
          <w:tbl>
            <w:tblPr>
              <w:tblW w:w="9000" w:type="dxa"/>
              <w:jc w:val="center"/>
              <w:tblCellSpacing w:w="0" w:type="dxa"/>
              <w:shd w:val="clear" w:color="auto" w:fill="FAFAFA"/>
              <w:tblCellMar>
                <w:left w:w="0" w:type="dxa"/>
                <w:right w:w="0" w:type="dxa"/>
              </w:tblCellMar>
              <w:tblLook w:val="04A0" w:firstRow="1" w:lastRow="0" w:firstColumn="1" w:lastColumn="0" w:noHBand="0" w:noVBand="1"/>
            </w:tblPr>
            <w:tblGrid>
              <w:gridCol w:w="9000"/>
            </w:tblGrid>
            <w:tr w:rsidR="00EF0184" w:rsidRPr="00EF0184" w14:paraId="74DF340C" w14:textId="77777777">
              <w:trPr>
                <w:tblCellSpacing w:w="0" w:type="dxa"/>
                <w:jc w:val="center"/>
              </w:trPr>
              <w:tc>
                <w:tcPr>
                  <w:tcW w:w="0" w:type="auto"/>
                  <w:shd w:val="clear" w:color="auto" w:fill="FAFAFA"/>
                  <w:tcMar>
                    <w:top w:w="100" w:type="dxa"/>
                    <w:left w:w="100" w:type="dxa"/>
                    <w:bottom w:w="100" w:type="dxa"/>
                    <w:right w:w="100" w:type="dxa"/>
                  </w:tcMar>
                  <w:hideMark/>
                </w:tcPr>
                <w:tbl>
                  <w:tblPr>
                    <w:tblW w:w="5000" w:type="pct"/>
                    <w:tblCellSpacing w:w="0" w:type="dxa"/>
                    <w:tblCellMar>
                      <w:left w:w="0" w:type="dxa"/>
                      <w:right w:w="0" w:type="dxa"/>
                    </w:tblCellMar>
                    <w:tblLook w:val="04A0" w:firstRow="1" w:lastRow="0" w:firstColumn="1" w:lastColumn="0" w:noHBand="0" w:noVBand="1"/>
                  </w:tblPr>
                  <w:tblGrid>
                    <w:gridCol w:w="5950"/>
                    <w:gridCol w:w="2850"/>
                  </w:tblGrid>
                  <w:tr w:rsidR="00EF0184" w:rsidRPr="00EF0184" w14:paraId="79C7FD46" w14:textId="77777777">
                    <w:trPr>
                      <w:tblCellSpacing w:w="0" w:type="dxa"/>
                    </w:trPr>
                    <w:tc>
                      <w:tcPr>
                        <w:tcW w:w="0" w:type="auto"/>
                        <w:tcMar>
                          <w:top w:w="100" w:type="dxa"/>
                          <w:left w:w="100" w:type="dxa"/>
                          <w:bottom w:w="100" w:type="dxa"/>
                          <w:right w:w="100" w:type="dxa"/>
                        </w:tcMar>
                        <w:hideMark/>
                      </w:tcPr>
                      <w:p w14:paraId="40FA433D" w14:textId="77777777" w:rsidR="00EF0184" w:rsidRPr="00EF0184" w:rsidRDefault="00EF0184" w:rsidP="00EF0184">
                        <w:pPr>
                          <w:rPr>
                            <w:rFonts w:ascii="Times New Roman" w:eastAsia="Times New Roman" w:hAnsi="Times New Roman" w:cs="Times New Roman"/>
                          </w:rPr>
                        </w:pPr>
                        <w:r w:rsidRPr="00EF0184">
                          <w:rPr>
                            <w:rFonts w:ascii="Arial" w:eastAsia="Times New Roman" w:hAnsi="Arial" w:cs="Arial"/>
                            <w:color w:val="505050"/>
                            <w:sz w:val="15"/>
                            <w:szCs w:val="15"/>
                          </w:rPr>
                          <w:t>Governor Kate Brown's Press Office</w:t>
                        </w:r>
                      </w:p>
                    </w:tc>
                    <w:tc>
                      <w:tcPr>
                        <w:tcW w:w="2850" w:type="dxa"/>
                        <w:tcMar>
                          <w:top w:w="100" w:type="dxa"/>
                          <w:left w:w="100" w:type="dxa"/>
                          <w:bottom w:w="100" w:type="dxa"/>
                          <w:right w:w="100" w:type="dxa"/>
                        </w:tcMar>
                        <w:hideMark/>
                      </w:tcPr>
                      <w:p w14:paraId="5BF24EDB" w14:textId="77777777" w:rsidR="00EF0184" w:rsidRPr="00EF0184" w:rsidRDefault="00EF0184" w:rsidP="00EF0184">
                        <w:pPr>
                          <w:rPr>
                            <w:rFonts w:ascii="Times New Roman" w:eastAsia="Times New Roman" w:hAnsi="Times New Roman" w:cs="Times New Roman"/>
                          </w:rPr>
                        </w:pPr>
                        <w:r w:rsidRPr="00EF0184">
                          <w:rPr>
                            <w:rFonts w:ascii="Arial" w:eastAsia="Times New Roman" w:hAnsi="Arial" w:cs="Arial"/>
                            <w:color w:val="505050"/>
                            <w:sz w:val="15"/>
                            <w:szCs w:val="15"/>
                          </w:rPr>
                          <w:t>Is this email not displaying correctly?</w:t>
                        </w:r>
                        <w:r w:rsidRPr="00EF0184">
                          <w:rPr>
                            <w:rFonts w:ascii="Arial" w:eastAsia="Times New Roman" w:hAnsi="Arial" w:cs="Arial"/>
                            <w:color w:val="505050"/>
                            <w:sz w:val="15"/>
                            <w:szCs w:val="15"/>
                          </w:rPr>
                          <w:br/>
                        </w:r>
                        <w:hyperlink r:id="rId5" w:tgtFrame="_blank" w:history="1">
                          <w:r w:rsidRPr="00EF0184">
                            <w:rPr>
                              <w:rFonts w:ascii="Arial" w:eastAsia="Times New Roman" w:hAnsi="Arial" w:cs="Arial"/>
                              <w:color w:val="336699"/>
                              <w:sz w:val="15"/>
                              <w:szCs w:val="15"/>
                              <w:u w:val="single"/>
                            </w:rPr>
                            <w:t>View it in your browser</w:t>
                          </w:r>
                        </w:hyperlink>
                        <w:r w:rsidRPr="00EF0184">
                          <w:rPr>
                            <w:rFonts w:ascii="Arial" w:eastAsia="Times New Roman" w:hAnsi="Arial" w:cs="Arial"/>
                            <w:color w:val="505050"/>
                            <w:sz w:val="15"/>
                            <w:szCs w:val="15"/>
                          </w:rPr>
                          <w:t>. </w:t>
                        </w:r>
                      </w:p>
                    </w:tc>
                  </w:tr>
                </w:tbl>
                <w:p w14:paraId="084C5ED8" w14:textId="77777777" w:rsidR="00EF0184" w:rsidRPr="00EF0184" w:rsidRDefault="00EF0184" w:rsidP="00EF0184">
                  <w:pPr>
                    <w:rPr>
                      <w:rFonts w:ascii="Times New Roman" w:eastAsia="Times New Roman" w:hAnsi="Times New Roman" w:cs="Times New Roman"/>
                    </w:rPr>
                  </w:pPr>
                </w:p>
              </w:tc>
            </w:tr>
          </w:tbl>
          <w:p w14:paraId="31DC9750" w14:textId="77777777" w:rsidR="00EF0184" w:rsidRPr="00EF0184" w:rsidRDefault="00EF0184" w:rsidP="00EF0184">
            <w:pPr>
              <w:jc w:val="center"/>
              <w:rPr>
                <w:rFonts w:ascii="Times New Roman" w:eastAsia="Times New Roman" w:hAnsi="Times New Roman" w:cs="Times New Roman"/>
              </w:rPr>
            </w:pPr>
            <w:r w:rsidRPr="00EF0184">
              <w:rPr>
                <w:rFonts w:ascii="Times New Roman" w:eastAsia="Times New Roman" w:hAnsi="Times New Roman" w:cs="Times New Roman"/>
              </w:rPr>
              <w:t> </w:t>
            </w:r>
          </w:p>
          <w:tbl>
            <w:tblPr>
              <w:tblW w:w="9000" w:type="dxa"/>
              <w:jc w:val="center"/>
              <w:tblCellSpacing w:w="0" w:type="dxa"/>
              <w:tblBorders>
                <w:top w:val="single" w:sz="8" w:space="0" w:color="DDDDDD"/>
                <w:left w:val="single" w:sz="8" w:space="0" w:color="DDDDDD"/>
                <w:bottom w:val="single" w:sz="8" w:space="0" w:color="DDDDDD"/>
                <w:right w:val="single" w:sz="8" w:space="0" w:color="DDDDDD"/>
              </w:tblBorders>
              <w:shd w:val="clear" w:color="auto" w:fill="FFFFFF"/>
              <w:tblCellMar>
                <w:left w:w="0" w:type="dxa"/>
                <w:right w:w="0" w:type="dxa"/>
              </w:tblCellMar>
              <w:tblLook w:val="04A0" w:firstRow="1" w:lastRow="0" w:firstColumn="1" w:lastColumn="0" w:noHBand="0" w:noVBand="1"/>
            </w:tblPr>
            <w:tblGrid>
              <w:gridCol w:w="9360"/>
            </w:tblGrid>
            <w:tr w:rsidR="00EF0184" w:rsidRPr="00EF0184" w14:paraId="476D410E" w14:textId="77777777">
              <w:trPr>
                <w:tblCellSpacing w:w="0" w:type="dxa"/>
                <w:jc w:val="center"/>
              </w:trPr>
              <w:tc>
                <w:tcPr>
                  <w:tcW w:w="0" w:type="auto"/>
                  <w:tcBorders>
                    <w:top w:val="nil"/>
                    <w:left w:val="nil"/>
                    <w:bottom w:val="nil"/>
                    <w:right w:val="nil"/>
                  </w:tcBorders>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340"/>
                  </w:tblGrid>
                  <w:tr w:rsidR="00EF0184" w:rsidRPr="00EF0184" w14:paraId="4B39D886" w14:textId="77777777">
                    <w:trPr>
                      <w:tblCellSpacing w:w="0" w:type="dxa"/>
                      <w:jc w:val="center"/>
                    </w:trPr>
                    <w:tc>
                      <w:tcPr>
                        <w:tcW w:w="0" w:type="auto"/>
                        <w:shd w:val="clear" w:color="auto" w:fill="FFFFFF"/>
                        <w:vAlign w:val="center"/>
                        <w:hideMark/>
                      </w:tcPr>
                      <w:p w14:paraId="76A5A1B7" w14:textId="1567FA39" w:rsidR="00EF0184" w:rsidRPr="00EF0184" w:rsidRDefault="00EF0184" w:rsidP="00EF0184">
                        <w:pPr>
                          <w:jc w:val="center"/>
                          <w:rPr>
                            <w:rFonts w:ascii="Times New Roman" w:eastAsia="Times New Roman" w:hAnsi="Times New Roman" w:cs="Times New Roman"/>
                          </w:rPr>
                        </w:pPr>
                        <w:r w:rsidRPr="00EF0184">
                          <w:rPr>
                            <w:rFonts w:ascii="Arial" w:eastAsia="Times New Roman" w:hAnsi="Arial" w:cs="Arial"/>
                            <w:b/>
                            <w:bCs/>
                            <w:color w:val="202020"/>
                            <w:sz w:val="51"/>
                            <w:szCs w:val="51"/>
                          </w:rPr>
                          <w:fldChar w:fldCharType="begin"/>
                        </w:r>
                        <w:r w:rsidRPr="00EF0184">
                          <w:rPr>
                            <w:rFonts w:ascii="Arial" w:eastAsia="Times New Roman" w:hAnsi="Arial" w:cs="Arial"/>
                            <w:b/>
                            <w:bCs/>
                            <w:color w:val="202020"/>
                            <w:sz w:val="51"/>
                            <w:szCs w:val="51"/>
                          </w:rPr>
                          <w:instrText xml:space="preserve"> INCLUDEPICTURE "/var/folders/cy/xk39bm7x23x4bm_z3t3d60_h0000gp/T/com.microsoft.Word/WebArchiveCopyPasteTempFiles/505d352e-4f45-4fe3-ad6b-b41a55024c80.png" \* MERGEFORMATINET </w:instrText>
                        </w:r>
                        <w:r w:rsidRPr="00EF0184">
                          <w:rPr>
                            <w:rFonts w:ascii="Arial" w:eastAsia="Times New Roman" w:hAnsi="Arial" w:cs="Arial"/>
                            <w:b/>
                            <w:bCs/>
                            <w:color w:val="202020"/>
                            <w:sz w:val="51"/>
                            <w:szCs w:val="51"/>
                          </w:rPr>
                          <w:fldChar w:fldCharType="separate"/>
                        </w:r>
                        <w:r w:rsidRPr="00EF0184">
                          <w:rPr>
                            <w:rFonts w:ascii="Arial" w:eastAsia="Times New Roman" w:hAnsi="Arial" w:cs="Arial"/>
                            <w:b/>
                            <w:bCs/>
                            <w:noProof/>
                            <w:color w:val="202020"/>
                            <w:sz w:val="51"/>
                            <w:szCs w:val="51"/>
                          </w:rPr>
                          <w:drawing>
                            <wp:inline distT="0" distB="0" distL="0" distR="0" wp14:anchorId="2A4555D3" wp14:editId="1B0E79EB">
                              <wp:extent cx="5943600" cy="1504950"/>
                              <wp:effectExtent l="0" t="0" r="0" b="635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504950"/>
                                      </a:xfrm>
                                      <a:prstGeom prst="rect">
                                        <a:avLst/>
                                      </a:prstGeom>
                                      <a:noFill/>
                                      <a:ln>
                                        <a:noFill/>
                                      </a:ln>
                                    </pic:spPr>
                                  </pic:pic>
                                </a:graphicData>
                              </a:graphic>
                            </wp:inline>
                          </w:drawing>
                        </w:r>
                        <w:r w:rsidRPr="00EF0184">
                          <w:rPr>
                            <w:rFonts w:ascii="Arial" w:eastAsia="Times New Roman" w:hAnsi="Arial" w:cs="Arial"/>
                            <w:b/>
                            <w:bCs/>
                            <w:color w:val="202020"/>
                            <w:sz w:val="51"/>
                            <w:szCs w:val="51"/>
                          </w:rPr>
                          <w:fldChar w:fldCharType="end"/>
                        </w:r>
                      </w:p>
                    </w:tc>
                  </w:tr>
                </w:tbl>
                <w:p w14:paraId="05346E04" w14:textId="77777777" w:rsidR="00EF0184" w:rsidRPr="00EF0184" w:rsidRDefault="00EF0184" w:rsidP="00EF0184">
                  <w:pPr>
                    <w:jc w:val="center"/>
                    <w:rPr>
                      <w:rFonts w:ascii="Times New Roman" w:eastAsia="Times New Roman" w:hAnsi="Times New Roman" w:cs="Times New Roman"/>
                    </w:rPr>
                  </w:pPr>
                </w:p>
              </w:tc>
            </w:tr>
            <w:tr w:rsidR="00EF0184" w:rsidRPr="00EF0184" w14:paraId="015A4585" w14:textId="77777777">
              <w:trPr>
                <w:tblCellSpacing w:w="0" w:type="dxa"/>
                <w:jc w:val="center"/>
              </w:trPr>
              <w:tc>
                <w:tcPr>
                  <w:tcW w:w="0" w:type="auto"/>
                  <w:tcBorders>
                    <w:top w:val="nil"/>
                    <w:left w:val="nil"/>
                    <w:bottom w:val="nil"/>
                    <w:right w:val="nil"/>
                  </w:tcBorders>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F0184" w:rsidRPr="00EF0184" w14:paraId="6DAFED94" w14:textId="77777777">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EF0184" w:rsidRPr="00EF0184" w14:paraId="6A47F74C" w14:textId="77777777">
                          <w:trPr>
                            <w:tblCellSpacing w:w="0" w:type="dxa"/>
                          </w:trPr>
                          <w:tc>
                            <w:tcPr>
                              <w:tcW w:w="0" w:type="auto"/>
                              <w:tcMar>
                                <w:top w:w="200" w:type="dxa"/>
                                <w:left w:w="200" w:type="dxa"/>
                                <w:bottom w:w="200" w:type="dxa"/>
                                <w:right w:w="200" w:type="dxa"/>
                              </w:tcMar>
                              <w:hideMark/>
                            </w:tcPr>
                            <w:p w14:paraId="4565995E" w14:textId="77777777" w:rsidR="00EF0184" w:rsidRPr="00EF0184" w:rsidRDefault="00EF0184" w:rsidP="00EF0184">
                              <w:pPr>
                                <w:spacing w:line="264" w:lineRule="atLeast"/>
                                <w:rPr>
                                  <w:rFonts w:ascii="Times New Roman" w:eastAsia="Times New Roman" w:hAnsi="Times New Roman" w:cs="Times New Roman"/>
                                </w:rPr>
                              </w:pPr>
                              <w:r w:rsidRPr="00EF0184">
                                <w:rPr>
                                  <w:rFonts w:ascii="Arial" w:eastAsia="Times New Roman" w:hAnsi="Arial" w:cs="Arial"/>
                                  <w:b/>
                                  <w:bCs/>
                                  <w:color w:val="000000"/>
                                  <w:sz w:val="21"/>
                                  <w:szCs w:val="21"/>
                                  <w:u w:val="single"/>
                                </w:rPr>
                                <w:t>NEWS RELEASE</w:t>
                              </w:r>
                              <w:r w:rsidRPr="00EF0184">
                                <w:rPr>
                                  <w:rFonts w:ascii="Arial" w:eastAsia="Times New Roman" w:hAnsi="Arial" w:cs="Arial"/>
                                  <w:b/>
                                  <w:bCs/>
                                  <w:color w:val="000000"/>
                                  <w:sz w:val="21"/>
                                  <w:szCs w:val="21"/>
                                </w:rPr>
                                <w:br/>
                              </w:r>
                              <w:r w:rsidRPr="00EF0184">
                                <w:rPr>
                                  <w:rFonts w:ascii="Arial" w:eastAsia="Times New Roman" w:hAnsi="Arial" w:cs="Arial"/>
                                  <w:b/>
                                  <w:bCs/>
                                  <w:color w:val="000000"/>
                                  <w:sz w:val="21"/>
                                  <w:szCs w:val="21"/>
                                </w:rPr>
                                <w:br/>
                                <w:t>February 23, 2021</w:t>
                              </w:r>
                              <w:r w:rsidRPr="00EF0184">
                                <w:rPr>
                                  <w:rFonts w:ascii="Arial" w:eastAsia="Times New Roman" w:hAnsi="Arial" w:cs="Arial"/>
                                  <w:b/>
                                  <w:bCs/>
                                  <w:color w:val="000000"/>
                                  <w:sz w:val="21"/>
                                  <w:szCs w:val="21"/>
                                </w:rPr>
                                <w:br/>
                              </w:r>
                              <w:r w:rsidRPr="00EF0184">
                                <w:rPr>
                                  <w:rFonts w:ascii="Arial" w:eastAsia="Times New Roman" w:hAnsi="Arial" w:cs="Arial"/>
                                  <w:b/>
                                  <w:bCs/>
                                  <w:color w:val="000000"/>
                                  <w:sz w:val="21"/>
                                  <w:szCs w:val="21"/>
                                </w:rPr>
                                <w:br/>
                                <w:t>Media Contact:</w:t>
                              </w:r>
                              <w:r w:rsidRPr="00EF0184">
                                <w:rPr>
                                  <w:rFonts w:ascii="Arial" w:eastAsia="Times New Roman" w:hAnsi="Arial" w:cs="Arial"/>
                                  <w:color w:val="000000"/>
                                  <w:sz w:val="21"/>
                                  <w:szCs w:val="21"/>
                                </w:rPr>
                                <w:br/>
                              </w:r>
                              <w:hyperlink r:id="rId7" w:tgtFrame="_blank" w:history="1">
                                <w:r w:rsidRPr="00EF0184">
                                  <w:rPr>
                                    <w:rFonts w:ascii="Arial" w:eastAsia="Times New Roman" w:hAnsi="Arial" w:cs="Arial"/>
                                    <w:color w:val="336699"/>
                                    <w:sz w:val="21"/>
                                    <w:szCs w:val="21"/>
                                    <w:u w:val="single"/>
                                  </w:rPr>
                                  <w:t>Charles Boyle</w:t>
                                </w:r>
                              </w:hyperlink>
                              <w:r w:rsidRPr="00EF0184">
                                <w:rPr>
                                  <w:rFonts w:ascii="Arial" w:eastAsia="Times New Roman" w:hAnsi="Arial" w:cs="Arial"/>
                                  <w:color w:val="000000"/>
                                  <w:sz w:val="21"/>
                                  <w:szCs w:val="21"/>
                                </w:rPr>
                                <w:t>, 503-931-7773</w:t>
                              </w:r>
                              <w:r w:rsidRPr="00EF0184">
                                <w:rPr>
                                  <w:rFonts w:ascii="Georgia" w:eastAsia="Times New Roman" w:hAnsi="Georgia" w:cs="Times New Roman"/>
                                  <w:color w:val="000000"/>
                                  <w:sz w:val="21"/>
                                  <w:szCs w:val="21"/>
                                </w:rPr>
                                <w:br/>
                              </w:r>
                              <w:r w:rsidRPr="00EF0184">
                                <w:rPr>
                                  <w:rFonts w:ascii="Georgia" w:eastAsia="Times New Roman" w:hAnsi="Georgia" w:cs="Times New Roman"/>
                                  <w:color w:val="000000"/>
                                  <w:sz w:val="21"/>
                                  <w:szCs w:val="21"/>
                                </w:rPr>
                                <w:br/>
                                <w:t>  </w:t>
                              </w:r>
                            </w:p>
                            <w:p w14:paraId="65B97879" w14:textId="77777777" w:rsidR="00EF0184" w:rsidRPr="00EF0184" w:rsidRDefault="00EF0184" w:rsidP="00EF0184">
                              <w:pPr>
                                <w:spacing w:after="150" w:line="429" w:lineRule="atLeast"/>
                                <w:jc w:val="center"/>
                                <w:outlineLvl w:val="0"/>
                                <w:rPr>
                                  <w:rFonts w:ascii="Georgia" w:eastAsia="Times New Roman" w:hAnsi="Georgia" w:cs="Times New Roman"/>
                                  <w:b/>
                                  <w:bCs/>
                                  <w:color w:val="202020"/>
                                  <w:kern w:val="36"/>
                                  <w:sz w:val="39"/>
                                  <w:szCs w:val="39"/>
                                </w:rPr>
                              </w:pPr>
                              <w:r w:rsidRPr="00EF0184">
                                <w:rPr>
                                  <w:rFonts w:ascii="Arial" w:eastAsia="Times New Roman" w:hAnsi="Arial" w:cs="Arial"/>
                                  <w:b/>
                                  <w:bCs/>
                                  <w:color w:val="202020"/>
                                  <w:kern w:val="36"/>
                                  <w:sz w:val="39"/>
                                  <w:szCs w:val="39"/>
                                </w:rPr>
                                <w:t>Governor Kate Brown Calls on Legislature to Support PK-12 Education Equity Legislation</w:t>
                              </w:r>
                            </w:p>
                            <w:p w14:paraId="174FA52F" w14:textId="77777777" w:rsidR="00EF0184" w:rsidRPr="00EF0184" w:rsidRDefault="00EF0184" w:rsidP="00EF0184">
                              <w:pPr>
                                <w:spacing w:line="264" w:lineRule="atLeast"/>
                                <w:jc w:val="center"/>
                                <w:rPr>
                                  <w:rFonts w:ascii="Times New Roman" w:eastAsia="Times New Roman" w:hAnsi="Times New Roman" w:cs="Times New Roman"/>
                                </w:rPr>
                              </w:pPr>
                              <w:r w:rsidRPr="00EF0184">
                                <w:rPr>
                                  <w:rFonts w:ascii="Helvetica Neue" w:eastAsia="Times New Roman" w:hAnsi="Helvetica Neue" w:cs="Times New Roman"/>
                                  <w:i/>
                                  <w:iCs/>
                                  <w:color w:val="000000"/>
                                  <w:sz w:val="27"/>
                                  <w:szCs w:val="27"/>
                                </w:rPr>
                                <w:t>Proposal builds on work of Racial Justice Council to enact equitable educational reforms</w:t>
                              </w:r>
                              <w:r w:rsidRPr="00EF0184">
                                <w:rPr>
                                  <w:rFonts w:ascii="Georgia" w:eastAsia="Times New Roman" w:hAnsi="Georgia" w:cs="Times New Roman"/>
                                  <w:color w:val="000000"/>
                                  <w:sz w:val="21"/>
                                  <w:szCs w:val="21"/>
                                </w:rPr>
                                <w:t> </w:t>
                              </w:r>
                              <w:r w:rsidRPr="00EF0184">
                                <w:rPr>
                                  <w:rFonts w:ascii="Georgia" w:eastAsia="Times New Roman" w:hAnsi="Georgia" w:cs="Times New Roman"/>
                                  <w:color w:val="000000"/>
                                  <w:sz w:val="21"/>
                                  <w:szCs w:val="21"/>
                                </w:rPr>
                                <w:br/>
                                <w:t> </w:t>
                              </w:r>
                            </w:p>
                            <w:p w14:paraId="6580ACC7" w14:textId="77777777" w:rsidR="00EF0184" w:rsidRPr="00EF0184" w:rsidRDefault="00EF0184" w:rsidP="00EF0184">
                              <w:pPr>
                                <w:spacing w:line="264" w:lineRule="atLeast"/>
                                <w:rPr>
                                  <w:rFonts w:ascii="Times New Roman" w:eastAsia="Times New Roman" w:hAnsi="Times New Roman" w:cs="Times New Roman"/>
                                </w:rPr>
                              </w:pPr>
                              <w:r w:rsidRPr="00EF0184">
                                <w:rPr>
                                  <w:rFonts w:ascii="Arial" w:eastAsia="Times New Roman" w:hAnsi="Arial" w:cs="Arial"/>
                                  <w:color w:val="000000"/>
                                  <w:sz w:val="21"/>
                                  <w:szCs w:val="21"/>
                                </w:rPr>
                                <w:t>(Salem, OR) — Governor Kate Brown today detailed her support for </w:t>
                              </w:r>
                              <w:hyperlink r:id="rId8" w:tgtFrame="_blank" w:history="1">
                                <w:r w:rsidRPr="00EF0184">
                                  <w:rPr>
                                    <w:rFonts w:ascii="Arial" w:eastAsia="Times New Roman" w:hAnsi="Arial" w:cs="Arial"/>
                                    <w:color w:val="336699"/>
                                    <w:sz w:val="21"/>
                                    <w:szCs w:val="21"/>
                                    <w:u w:val="single"/>
                                  </w:rPr>
                                  <w:t>House Bill 2166</w:t>
                                </w:r>
                              </w:hyperlink>
                              <w:r w:rsidRPr="00EF0184">
                                <w:rPr>
                                  <w:rFonts w:ascii="Arial" w:eastAsia="Times New Roman" w:hAnsi="Arial" w:cs="Arial"/>
                                  <w:color w:val="000000"/>
                                  <w:sz w:val="21"/>
                                  <w:szCs w:val="21"/>
                                </w:rPr>
                                <w:t>, which proposes equity-centered reforms for the early learning and K-12 education systems in Oregon, with a focus on creating culturally-responsive education settings for all Oregon children. The bill builds on the work of the Racial Justice Council’s Education Recovery Committee.</w:t>
                              </w:r>
                              <w:r w:rsidRPr="00EF0184">
                                <w:rPr>
                                  <w:rFonts w:ascii="Arial" w:eastAsia="Times New Roman" w:hAnsi="Arial" w:cs="Arial"/>
                                  <w:color w:val="000000"/>
                                  <w:sz w:val="21"/>
                                  <w:szCs w:val="21"/>
                                </w:rPr>
                                <w:br/>
                              </w:r>
                              <w:r w:rsidRPr="00EF0184">
                                <w:rPr>
                                  <w:rFonts w:ascii="Arial" w:eastAsia="Times New Roman" w:hAnsi="Arial" w:cs="Arial"/>
                                  <w:color w:val="000000"/>
                                  <w:sz w:val="21"/>
                                  <w:szCs w:val="21"/>
                                </w:rPr>
                                <w:br/>
                                <w:t>“As has become clear time and time again in the last twelve months, the COVID-19 pandemic has exposed and exacerbated the existing disparities in our early learning and education systems for students from Black, Indigenous, Latino, Latina, Latinx, tribal, and communities of color,” said Governor Brown.</w:t>
                              </w:r>
                              <w:r w:rsidRPr="00EF0184">
                                <w:rPr>
                                  <w:rFonts w:ascii="Arial" w:eastAsia="Times New Roman" w:hAnsi="Arial" w:cs="Arial"/>
                                  <w:color w:val="000000"/>
                                  <w:sz w:val="21"/>
                                  <w:szCs w:val="21"/>
                                </w:rPr>
                                <w:br/>
                              </w:r>
                              <w:r w:rsidRPr="00EF0184">
                                <w:rPr>
                                  <w:rFonts w:ascii="Arial" w:eastAsia="Times New Roman" w:hAnsi="Arial" w:cs="Arial"/>
                                  <w:color w:val="000000"/>
                                  <w:sz w:val="21"/>
                                  <w:szCs w:val="21"/>
                                </w:rPr>
                                <w:br/>
                                <w:t>“Education extends from cradle to career, as we work to give every child the opportunity to learn, grow, and achieve their full potential. Building a more just and equitable education system in Oregon will not be easy. But, together, we have an opportunity to take action this year to enact meaningful reforms that will shape the experiences and educational outcomes for this generation of students and those that follow.”</w:t>
                              </w:r>
                              <w:r w:rsidRPr="00EF0184">
                                <w:rPr>
                                  <w:rFonts w:ascii="Arial" w:eastAsia="Times New Roman" w:hAnsi="Arial" w:cs="Arial"/>
                                  <w:color w:val="000000"/>
                                  <w:sz w:val="21"/>
                                  <w:szCs w:val="21"/>
                                </w:rPr>
                                <w:br/>
                              </w:r>
                              <w:r w:rsidRPr="00EF0184">
                                <w:rPr>
                                  <w:rFonts w:ascii="Arial" w:eastAsia="Times New Roman" w:hAnsi="Arial" w:cs="Arial"/>
                                  <w:color w:val="000000"/>
                                  <w:sz w:val="21"/>
                                  <w:szCs w:val="21"/>
                                </w:rPr>
                                <w:br/>
                                <w:t>Governor Brown’s prepared remarks for the House Committee on Education are available </w:t>
                              </w:r>
                              <w:hyperlink r:id="rId9" w:tgtFrame="_blank" w:history="1">
                                <w:r w:rsidRPr="00EF0184">
                                  <w:rPr>
                                    <w:rFonts w:ascii="Arial" w:eastAsia="Times New Roman" w:hAnsi="Arial" w:cs="Arial"/>
                                    <w:color w:val="336699"/>
                                    <w:sz w:val="21"/>
                                    <w:szCs w:val="21"/>
                                    <w:u w:val="single"/>
                                  </w:rPr>
                                  <w:t>here</w:t>
                                </w:r>
                              </w:hyperlink>
                              <w:r w:rsidRPr="00EF0184">
                                <w:rPr>
                                  <w:rFonts w:ascii="Arial" w:eastAsia="Times New Roman" w:hAnsi="Arial" w:cs="Arial"/>
                                  <w:color w:val="000000"/>
                                  <w:sz w:val="21"/>
                                  <w:szCs w:val="21"/>
                                </w:rPr>
                                <w:t>.</w:t>
                              </w:r>
                              <w:r w:rsidRPr="00EF0184">
                                <w:rPr>
                                  <w:rFonts w:ascii="Arial" w:eastAsia="Times New Roman" w:hAnsi="Arial" w:cs="Arial"/>
                                  <w:color w:val="000000"/>
                                  <w:sz w:val="21"/>
                                  <w:szCs w:val="21"/>
                                </w:rPr>
                                <w:br/>
                              </w:r>
                              <w:r w:rsidRPr="00EF0184">
                                <w:rPr>
                                  <w:rFonts w:ascii="Arial" w:eastAsia="Times New Roman" w:hAnsi="Arial" w:cs="Arial"/>
                                  <w:color w:val="000000"/>
                                  <w:sz w:val="21"/>
                                  <w:szCs w:val="21"/>
                                </w:rPr>
                                <w:lastRenderedPageBreak/>
                                <w:br/>
                                <w:t>Key provisions of HB 2166 include:</w:t>
                              </w:r>
                            </w:p>
                            <w:p w14:paraId="14712AAF" w14:textId="77777777" w:rsidR="00EF0184" w:rsidRPr="00EF0184" w:rsidRDefault="00EF0184" w:rsidP="00EF0184">
                              <w:pPr>
                                <w:numPr>
                                  <w:ilvl w:val="0"/>
                                  <w:numId w:val="1"/>
                                </w:numPr>
                                <w:spacing w:line="264" w:lineRule="atLeast"/>
                                <w:rPr>
                                  <w:rFonts w:ascii="Times New Roman" w:eastAsia="Times New Roman" w:hAnsi="Times New Roman" w:cs="Times New Roman"/>
                                  <w:color w:val="000000"/>
                                </w:rPr>
                              </w:pPr>
                              <w:r w:rsidRPr="00EF0184">
                                <w:rPr>
                                  <w:rFonts w:ascii="Arial" w:eastAsia="Times New Roman" w:hAnsi="Arial" w:cs="Arial"/>
                                  <w:color w:val="000000"/>
                                  <w:sz w:val="21"/>
                                  <w:szCs w:val="21"/>
                                </w:rPr>
                                <w:t>Creating an </w:t>
                              </w:r>
                              <w:r w:rsidRPr="00EF0184">
                                <w:rPr>
                                  <w:rFonts w:ascii="Arial" w:eastAsia="Times New Roman" w:hAnsi="Arial" w:cs="Arial"/>
                                  <w:b/>
                                  <w:bCs/>
                                  <w:color w:val="000000"/>
                                  <w:sz w:val="21"/>
                                  <w:szCs w:val="21"/>
                                </w:rPr>
                                <w:t>Early Childhood Suspension and Expulsion Prevention Program</w:t>
                              </w:r>
                              <w:r w:rsidRPr="00EF0184">
                                <w:rPr>
                                  <w:rFonts w:ascii="Arial" w:eastAsia="Times New Roman" w:hAnsi="Arial" w:cs="Arial"/>
                                  <w:color w:val="000000"/>
                                  <w:sz w:val="21"/>
                                  <w:szCs w:val="21"/>
                                </w:rPr>
                                <w:t xml:space="preserve"> to serve as a centralized, statewide system for early care and education (ECE) programs to support stable, </w:t>
                              </w:r>
                              <w:proofErr w:type="gramStart"/>
                              <w:r w:rsidRPr="00EF0184">
                                <w:rPr>
                                  <w:rFonts w:ascii="Arial" w:eastAsia="Times New Roman" w:hAnsi="Arial" w:cs="Arial"/>
                                  <w:color w:val="000000"/>
                                  <w:sz w:val="21"/>
                                  <w:szCs w:val="21"/>
                                </w:rPr>
                                <w:t>culturally-responsive</w:t>
                              </w:r>
                              <w:proofErr w:type="gramEnd"/>
                              <w:r w:rsidRPr="00EF0184">
                                <w:rPr>
                                  <w:rFonts w:ascii="Arial" w:eastAsia="Times New Roman" w:hAnsi="Arial" w:cs="Arial"/>
                                  <w:color w:val="000000"/>
                                  <w:sz w:val="21"/>
                                  <w:szCs w:val="21"/>
                                </w:rPr>
                                <w:t>, and developmentally appropriate placements, and prevent expulsion or suspension from these programs. </w:t>
                              </w:r>
                            </w:p>
                            <w:p w14:paraId="547F2DA0" w14:textId="77777777" w:rsidR="00EF0184" w:rsidRPr="00EF0184" w:rsidRDefault="00EF0184" w:rsidP="00EF0184">
                              <w:pPr>
                                <w:numPr>
                                  <w:ilvl w:val="0"/>
                                  <w:numId w:val="1"/>
                                </w:numPr>
                                <w:spacing w:line="264" w:lineRule="atLeast"/>
                                <w:rPr>
                                  <w:rFonts w:ascii="Times New Roman" w:eastAsia="Times New Roman" w:hAnsi="Times New Roman" w:cs="Times New Roman"/>
                                  <w:color w:val="000000"/>
                                </w:rPr>
                              </w:pPr>
                              <w:r w:rsidRPr="00EF0184">
                                <w:rPr>
                                  <w:rFonts w:ascii="Arial" w:eastAsia="Times New Roman" w:hAnsi="Arial" w:cs="Arial"/>
                                  <w:color w:val="000000"/>
                                  <w:sz w:val="21"/>
                                  <w:szCs w:val="21"/>
                                </w:rPr>
                                <w:t>Establishing </w:t>
                              </w:r>
                              <w:r w:rsidRPr="00EF0184">
                                <w:rPr>
                                  <w:rFonts w:ascii="Arial" w:eastAsia="Times New Roman" w:hAnsi="Arial" w:cs="Arial"/>
                                  <w:b/>
                                  <w:bCs/>
                                  <w:color w:val="000000"/>
                                  <w:sz w:val="21"/>
                                  <w:szCs w:val="21"/>
                                </w:rPr>
                                <w:t>Social Emotional Learning Content Standards</w:t>
                              </w:r>
                              <w:r w:rsidRPr="00EF0184">
                                <w:rPr>
                                  <w:rFonts w:ascii="Arial" w:eastAsia="Times New Roman" w:hAnsi="Arial" w:cs="Arial"/>
                                  <w:color w:val="000000"/>
                                  <w:sz w:val="21"/>
                                  <w:szCs w:val="21"/>
                                </w:rPr>
                                <w:t> to assure schools support students’ social and emotional abilities emphasizing strengths, resilience, and mental health. Mental health is a cornerstone of education, and part of a continuum of care needed to support student learning. </w:t>
                              </w:r>
                            </w:p>
                            <w:p w14:paraId="2E0639DA" w14:textId="77777777" w:rsidR="00EF0184" w:rsidRPr="00EF0184" w:rsidRDefault="00EF0184" w:rsidP="00EF0184">
                              <w:pPr>
                                <w:numPr>
                                  <w:ilvl w:val="0"/>
                                  <w:numId w:val="1"/>
                                </w:numPr>
                                <w:spacing w:line="264" w:lineRule="atLeast"/>
                                <w:rPr>
                                  <w:rFonts w:ascii="Times New Roman" w:eastAsia="Times New Roman" w:hAnsi="Times New Roman" w:cs="Times New Roman"/>
                                  <w:color w:val="000000"/>
                                </w:rPr>
                              </w:pPr>
                              <w:r w:rsidRPr="00EF0184">
                                <w:rPr>
                                  <w:rFonts w:ascii="Arial" w:eastAsia="Times New Roman" w:hAnsi="Arial" w:cs="Arial"/>
                                  <w:color w:val="000000"/>
                                  <w:sz w:val="21"/>
                                  <w:szCs w:val="21"/>
                                </w:rPr>
                                <w:t>Supporting </w:t>
                              </w:r>
                              <w:r w:rsidRPr="00EF0184">
                                <w:rPr>
                                  <w:rFonts w:ascii="Arial" w:eastAsia="Times New Roman" w:hAnsi="Arial" w:cs="Arial"/>
                                  <w:b/>
                                  <w:bCs/>
                                  <w:color w:val="000000"/>
                                  <w:sz w:val="21"/>
                                  <w:szCs w:val="21"/>
                                </w:rPr>
                                <w:t>Educator Equity</w:t>
                              </w:r>
                              <w:r w:rsidRPr="00EF0184">
                                <w:rPr>
                                  <w:rFonts w:ascii="Arial" w:eastAsia="Times New Roman" w:hAnsi="Arial" w:cs="Arial"/>
                                  <w:color w:val="000000"/>
                                  <w:sz w:val="21"/>
                                  <w:szCs w:val="21"/>
                                </w:rPr>
                                <w:t> by providing authority to the State Board of Education, in consultation with the Educator Advancement Council (EAC), to assist school districts in growing a diverse workforce in public schools; increase award amounts for the Oregon Teacher Scholars program to $10,000; and clarify in statute EAC membership and status as a state intergovernmental entity. </w:t>
                              </w:r>
                            </w:p>
                            <w:p w14:paraId="3FE63B29" w14:textId="77777777" w:rsidR="00EF0184" w:rsidRPr="00EF0184" w:rsidRDefault="00EF0184" w:rsidP="00EF0184">
                              <w:pPr>
                                <w:numPr>
                                  <w:ilvl w:val="0"/>
                                  <w:numId w:val="1"/>
                                </w:numPr>
                                <w:spacing w:line="264" w:lineRule="atLeast"/>
                                <w:rPr>
                                  <w:rFonts w:ascii="Times New Roman" w:eastAsia="Times New Roman" w:hAnsi="Times New Roman" w:cs="Times New Roman"/>
                                  <w:color w:val="000000"/>
                                </w:rPr>
                              </w:pPr>
                              <w:r w:rsidRPr="00EF0184">
                                <w:rPr>
                                  <w:rFonts w:ascii="Arial" w:eastAsia="Times New Roman" w:hAnsi="Arial" w:cs="Arial"/>
                                  <w:color w:val="000000"/>
                                  <w:sz w:val="21"/>
                                  <w:szCs w:val="21"/>
                                </w:rPr>
                                <w:t>Establishing </w:t>
                              </w:r>
                              <w:r w:rsidRPr="00EF0184">
                                <w:rPr>
                                  <w:rFonts w:ascii="Arial" w:eastAsia="Times New Roman" w:hAnsi="Arial" w:cs="Arial"/>
                                  <w:b/>
                                  <w:bCs/>
                                  <w:color w:val="000000"/>
                                  <w:sz w:val="21"/>
                                  <w:szCs w:val="21"/>
                                </w:rPr>
                                <w:t>Nontraditional Pathways to Licensure</w:t>
                              </w:r>
                              <w:r w:rsidRPr="00EF0184">
                                <w:rPr>
                                  <w:rFonts w:ascii="Arial" w:eastAsia="Times New Roman" w:hAnsi="Arial" w:cs="Arial"/>
                                  <w:color w:val="000000"/>
                                  <w:sz w:val="21"/>
                                  <w:szCs w:val="21"/>
                                </w:rPr>
                                <w:t> to increase access to licensure for those of culturally, linguistically, and socioeconomically diverse backgrounds while maintaining rigorous preparation standards and thereby broaden the potential pool of qualified applicants beyond that provided by traditional career pathways. </w:t>
                              </w:r>
                            </w:p>
                            <w:p w14:paraId="7E785AFF" w14:textId="77777777" w:rsidR="00EF0184" w:rsidRPr="00EF0184" w:rsidRDefault="00EF0184" w:rsidP="00EF0184">
                              <w:pPr>
                                <w:spacing w:line="264" w:lineRule="atLeast"/>
                                <w:jc w:val="center"/>
                                <w:rPr>
                                  <w:rFonts w:ascii="Times New Roman" w:eastAsia="Times New Roman" w:hAnsi="Times New Roman" w:cs="Times New Roman"/>
                                </w:rPr>
                              </w:pPr>
                              <w:r w:rsidRPr="00EF0184">
                                <w:rPr>
                                  <w:rFonts w:ascii="Arial" w:eastAsia="Times New Roman" w:hAnsi="Arial" w:cs="Arial"/>
                                  <w:color w:val="000000"/>
                                  <w:sz w:val="21"/>
                                  <w:szCs w:val="21"/>
                                </w:rPr>
                                <w:t>###</w:t>
                              </w:r>
                            </w:p>
                          </w:tc>
                        </w:tr>
                      </w:tbl>
                      <w:p w14:paraId="65E718D1" w14:textId="77777777" w:rsidR="00EF0184" w:rsidRPr="00EF0184" w:rsidRDefault="00EF0184" w:rsidP="00EF0184">
                        <w:pPr>
                          <w:rPr>
                            <w:rFonts w:ascii="Times New Roman" w:eastAsia="Times New Roman" w:hAnsi="Times New Roman" w:cs="Times New Roman"/>
                          </w:rPr>
                        </w:pPr>
                      </w:p>
                    </w:tc>
                  </w:tr>
                </w:tbl>
                <w:p w14:paraId="113A36F0" w14:textId="77777777" w:rsidR="00EF0184" w:rsidRPr="00EF0184" w:rsidRDefault="00EF0184" w:rsidP="00EF0184">
                  <w:pPr>
                    <w:jc w:val="center"/>
                    <w:rPr>
                      <w:rFonts w:ascii="Times New Roman" w:eastAsia="Times New Roman" w:hAnsi="Times New Roman" w:cs="Times New Roman"/>
                    </w:rPr>
                  </w:pPr>
                </w:p>
              </w:tc>
            </w:tr>
            <w:tr w:rsidR="00EF0184" w:rsidRPr="00EF0184" w14:paraId="518A4A2E" w14:textId="77777777">
              <w:trPr>
                <w:tblCellSpacing w:w="0" w:type="dxa"/>
                <w:jc w:val="center"/>
              </w:trPr>
              <w:tc>
                <w:tcPr>
                  <w:tcW w:w="0" w:type="auto"/>
                  <w:tcBorders>
                    <w:top w:val="nil"/>
                    <w:left w:val="nil"/>
                    <w:bottom w:val="nil"/>
                    <w:right w:val="nil"/>
                  </w:tcBorders>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EF0184" w:rsidRPr="00EF0184" w14:paraId="570DCE90" w14:textId="77777777">
                    <w:trPr>
                      <w:tblCellSpacing w:w="0" w:type="dxa"/>
                      <w:jc w:val="center"/>
                    </w:trPr>
                    <w:tc>
                      <w:tcPr>
                        <w:tcW w:w="0" w:type="auto"/>
                        <w:shd w:val="clear" w:color="auto" w:fill="FFFFFF"/>
                        <w:tcMar>
                          <w:top w:w="100" w:type="dxa"/>
                          <w:left w:w="100" w:type="dxa"/>
                          <w:bottom w:w="100" w:type="dxa"/>
                          <w:right w:w="100" w:type="dxa"/>
                        </w:tcMar>
                        <w:hideMark/>
                      </w:tcPr>
                      <w:tbl>
                        <w:tblPr>
                          <w:tblW w:w="5000" w:type="pct"/>
                          <w:tblCellSpacing w:w="0" w:type="dxa"/>
                          <w:tblCellMar>
                            <w:left w:w="0" w:type="dxa"/>
                            <w:right w:w="0" w:type="dxa"/>
                          </w:tblCellMar>
                          <w:tblLook w:val="04A0" w:firstRow="1" w:lastRow="0" w:firstColumn="1" w:lastColumn="0" w:noHBand="0" w:noVBand="1"/>
                        </w:tblPr>
                        <w:tblGrid>
                          <w:gridCol w:w="5704"/>
                          <w:gridCol w:w="3096"/>
                        </w:tblGrid>
                        <w:tr w:rsidR="00EF0184" w:rsidRPr="00EF0184" w14:paraId="7EA5BCF1" w14:textId="77777777">
                          <w:trPr>
                            <w:tblCellSpacing w:w="0" w:type="dxa"/>
                          </w:trPr>
                          <w:tc>
                            <w:tcPr>
                              <w:tcW w:w="0" w:type="auto"/>
                              <w:gridSpan w:val="2"/>
                              <w:shd w:val="clear" w:color="auto" w:fill="FFFFFF"/>
                              <w:tcMar>
                                <w:top w:w="100" w:type="dxa"/>
                                <w:left w:w="100" w:type="dxa"/>
                                <w:bottom w:w="100" w:type="dxa"/>
                                <w:right w:w="100" w:type="dxa"/>
                              </w:tcMar>
                              <w:vAlign w:val="center"/>
                              <w:hideMark/>
                            </w:tcPr>
                            <w:p w14:paraId="7F29B8DC" w14:textId="77777777" w:rsidR="00EF0184" w:rsidRPr="00EF0184" w:rsidRDefault="00EF0184" w:rsidP="00EF0184">
                              <w:pPr>
                                <w:rPr>
                                  <w:rFonts w:ascii="Times New Roman" w:eastAsia="Times New Roman" w:hAnsi="Times New Roman" w:cs="Times New Roman"/>
                                  <w:sz w:val="20"/>
                                  <w:szCs w:val="20"/>
                                </w:rPr>
                              </w:pPr>
                            </w:p>
                          </w:tc>
                        </w:tr>
                        <w:tr w:rsidR="00EF0184" w:rsidRPr="00EF0184" w14:paraId="5CB8153D" w14:textId="77777777">
                          <w:trPr>
                            <w:tblCellSpacing w:w="0" w:type="dxa"/>
                          </w:trPr>
                          <w:tc>
                            <w:tcPr>
                              <w:tcW w:w="5250" w:type="dxa"/>
                              <w:tcMar>
                                <w:top w:w="100" w:type="dxa"/>
                                <w:left w:w="100" w:type="dxa"/>
                                <w:bottom w:w="100" w:type="dxa"/>
                                <w:right w:w="100" w:type="dxa"/>
                              </w:tcMar>
                              <w:hideMark/>
                            </w:tcPr>
                            <w:p w14:paraId="374E5A05" w14:textId="77777777" w:rsidR="00EF0184" w:rsidRPr="00EF0184" w:rsidRDefault="00EF0184" w:rsidP="00EF0184">
                              <w:pPr>
                                <w:rPr>
                                  <w:rFonts w:ascii="Times New Roman" w:eastAsia="Times New Roman" w:hAnsi="Times New Roman" w:cs="Times New Roman"/>
                                  <w:sz w:val="20"/>
                                  <w:szCs w:val="20"/>
                                </w:rPr>
                              </w:pPr>
                            </w:p>
                          </w:tc>
                          <w:tc>
                            <w:tcPr>
                              <w:tcW w:w="2850" w:type="dxa"/>
                              <w:tcMar>
                                <w:top w:w="100" w:type="dxa"/>
                                <w:left w:w="100" w:type="dxa"/>
                                <w:bottom w:w="100" w:type="dxa"/>
                                <w:right w:w="100" w:type="dxa"/>
                              </w:tcMar>
                              <w:hideMark/>
                            </w:tcPr>
                            <w:p w14:paraId="53E03E05" w14:textId="77777777" w:rsidR="00EF0184" w:rsidRPr="00EF0184" w:rsidRDefault="00EF0184" w:rsidP="00EF0184">
                              <w:pPr>
                                <w:rPr>
                                  <w:rFonts w:ascii="Times New Roman" w:eastAsia="Times New Roman" w:hAnsi="Times New Roman" w:cs="Times New Roman"/>
                                  <w:sz w:val="20"/>
                                  <w:szCs w:val="20"/>
                                </w:rPr>
                              </w:pPr>
                            </w:p>
                          </w:tc>
                        </w:tr>
                        <w:tr w:rsidR="00EF0184" w:rsidRPr="00EF0184" w14:paraId="17E0F0FB" w14:textId="77777777">
                          <w:trPr>
                            <w:tblCellSpacing w:w="0" w:type="dxa"/>
                          </w:trPr>
                          <w:tc>
                            <w:tcPr>
                              <w:tcW w:w="0" w:type="auto"/>
                              <w:gridSpan w:val="2"/>
                              <w:shd w:val="clear" w:color="auto" w:fill="FFFFFF"/>
                              <w:tcMar>
                                <w:top w:w="100" w:type="dxa"/>
                                <w:left w:w="100" w:type="dxa"/>
                                <w:bottom w:w="100" w:type="dxa"/>
                                <w:right w:w="100" w:type="dxa"/>
                              </w:tcMar>
                              <w:vAlign w:val="center"/>
                              <w:hideMark/>
                            </w:tcPr>
                            <w:p w14:paraId="1D13B3AF" w14:textId="77777777" w:rsidR="00EF0184" w:rsidRPr="00EF0184" w:rsidRDefault="00EF0184" w:rsidP="00EF0184">
                              <w:pPr>
                                <w:spacing w:line="300" w:lineRule="atLeast"/>
                                <w:jc w:val="center"/>
                                <w:rPr>
                                  <w:rFonts w:ascii="Times New Roman" w:eastAsia="Times New Roman" w:hAnsi="Times New Roman" w:cs="Times New Roman"/>
                                </w:rPr>
                              </w:pPr>
                              <w:hyperlink r:id="rId10" w:tgtFrame="_blank" w:history="1">
                                <w:r w:rsidRPr="00EF0184">
                                  <w:rPr>
                                    <w:rFonts w:ascii="Arial" w:eastAsia="Times New Roman" w:hAnsi="Arial" w:cs="Arial"/>
                                    <w:color w:val="336699"/>
                                    <w:sz w:val="18"/>
                                    <w:szCs w:val="18"/>
                                    <w:u w:val="single"/>
                                  </w:rPr>
                                  <w:t>www.governor.oregon.gov</w:t>
                                </w:r>
                              </w:hyperlink>
                              <w:r w:rsidRPr="00EF0184">
                                <w:rPr>
                                  <w:rFonts w:ascii="Arial" w:eastAsia="Times New Roman" w:hAnsi="Arial" w:cs="Arial"/>
                                  <w:color w:val="C0C0C0"/>
                                  <w:sz w:val="18"/>
                                  <w:szCs w:val="18"/>
                                </w:rPr>
                                <w:br/>
                              </w:r>
                              <w:hyperlink r:id="rId11" w:tgtFrame="_blank" w:history="1">
                                <w:r w:rsidRPr="00EF0184">
                                  <w:rPr>
                                    <w:rFonts w:ascii="Arial" w:eastAsia="Times New Roman" w:hAnsi="Arial" w:cs="Arial"/>
                                    <w:color w:val="336699"/>
                                    <w:sz w:val="18"/>
                                    <w:szCs w:val="18"/>
                                    <w:u w:val="single"/>
                                  </w:rPr>
                                  <w:t>Previous Press Releases</w:t>
                                </w:r>
                              </w:hyperlink>
                              <w:r w:rsidRPr="00EF0184">
                                <w:rPr>
                                  <w:rFonts w:ascii="Arial" w:eastAsia="Times New Roman" w:hAnsi="Arial" w:cs="Arial"/>
                                  <w:color w:val="C0C0C0"/>
                                  <w:sz w:val="18"/>
                                  <w:szCs w:val="18"/>
                                </w:rPr>
                                <w:br/>
                              </w:r>
                              <w:hyperlink r:id="rId12" w:tgtFrame="_blank" w:history="1">
                                <w:r w:rsidRPr="00EF0184">
                                  <w:rPr>
                                    <w:rFonts w:ascii="Arial" w:eastAsia="Times New Roman" w:hAnsi="Arial" w:cs="Arial"/>
                                    <w:color w:val="336699"/>
                                    <w:sz w:val="18"/>
                                    <w:szCs w:val="18"/>
                                    <w:u w:val="single"/>
                                  </w:rPr>
                                  <w:t>Natalie King</w:t>
                                </w:r>
                              </w:hyperlink>
                              <w:r w:rsidRPr="00EF0184">
                                <w:rPr>
                                  <w:rFonts w:ascii="Arial" w:eastAsia="Times New Roman" w:hAnsi="Arial" w:cs="Arial"/>
                                  <w:color w:val="C0C0C0"/>
                                  <w:sz w:val="18"/>
                                  <w:szCs w:val="18"/>
                                </w:rPr>
                                <w:t> • Communications Director, Office of Governor Kate Brown • (503) 378-5965</w:t>
                              </w:r>
                            </w:p>
                          </w:tc>
                        </w:tr>
                      </w:tbl>
                      <w:p w14:paraId="2B898DB3" w14:textId="77777777" w:rsidR="00EF0184" w:rsidRPr="00EF0184" w:rsidRDefault="00EF0184" w:rsidP="00EF0184">
                        <w:pPr>
                          <w:rPr>
                            <w:rFonts w:ascii="Times New Roman" w:eastAsia="Times New Roman" w:hAnsi="Times New Roman" w:cs="Times New Roman"/>
                          </w:rPr>
                        </w:pPr>
                      </w:p>
                    </w:tc>
                  </w:tr>
                </w:tbl>
                <w:p w14:paraId="47BA4F8A" w14:textId="77777777" w:rsidR="00EF0184" w:rsidRPr="00EF0184" w:rsidRDefault="00EF0184" w:rsidP="00EF0184">
                  <w:pPr>
                    <w:jc w:val="center"/>
                    <w:rPr>
                      <w:rFonts w:ascii="Times New Roman" w:eastAsia="Times New Roman" w:hAnsi="Times New Roman" w:cs="Times New Roman"/>
                    </w:rPr>
                  </w:pPr>
                </w:p>
              </w:tc>
            </w:tr>
          </w:tbl>
          <w:p w14:paraId="414CB9E0" w14:textId="77777777" w:rsidR="00EF0184" w:rsidRPr="00EF0184" w:rsidRDefault="00EF0184" w:rsidP="00EF0184">
            <w:pPr>
              <w:jc w:val="center"/>
              <w:rPr>
                <w:rFonts w:ascii="Times New Roman" w:eastAsia="Times New Roman" w:hAnsi="Times New Roman" w:cs="Times New Roman"/>
              </w:rPr>
            </w:pPr>
          </w:p>
        </w:tc>
      </w:tr>
    </w:tbl>
    <w:p w14:paraId="4772039A" w14:textId="77777777" w:rsidR="00814345" w:rsidRDefault="00EF0184"/>
    <w:sectPr w:rsidR="00814345" w:rsidSect="001B2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0701C3"/>
    <w:multiLevelType w:val="multilevel"/>
    <w:tmpl w:val="AD7A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84"/>
    <w:rsid w:val="001B2058"/>
    <w:rsid w:val="00B00FBF"/>
    <w:rsid w:val="00EF0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EF2B80"/>
  <w15:chartTrackingRefBased/>
  <w15:docId w15:val="{7FDAD26C-1B61-D94F-989E-6EFF2309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018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18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F0184"/>
    <w:rPr>
      <w:color w:val="0000FF"/>
      <w:u w:val="single"/>
    </w:rPr>
  </w:style>
  <w:style w:type="character" w:customStyle="1" w:styleId="apple-converted-space">
    <w:name w:val="apple-converted-space"/>
    <w:basedOn w:val="DefaultParagraphFont"/>
    <w:rsid w:val="00EF0184"/>
  </w:style>
  <w:style w:type="character" w:styleId="Strong">
    <w:name w:val="Strong"/>
    <w:basedOn w:val="DefaultParagraphFont"/>
    <w:uiPriority w:val="22"/>
    <w:qFormat/>
    <w:rsid w:val="00EF0184"/>
    <w:rPr>
      <w:b/>
      <w:bCs/>
    </w:rPr>
  </w:style>
  <w:style w:type="character" w:styleId="Emphasis">
    <w:name w:val="Emphasis"/>
    <w:basedOn w:val="DefaultParagraphFont"/>
    <w:uiPriority w:val="20"/>
    <w:qFormat/>
    <w:rsid w:val="00EF01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300282">
      <w:bodyDiv w:val="1"/>
      <w:marLeft w:val="0"/>
      <w:marRight w:val="0"/>
      <w:marTop w:val="0"/>
      <w:marBottom w:val="0"/>
      <w:divBdr>
        <w:top w:val="none" w:sz="0" w:space="0" w:color="auto"/>
        <w:left w:val="none" w:sz="0" w:space="0" w:color="auto"/>
        <w:bottom w:val="none" w:sz="0" w:space="0" w:color="auto"/>
        <w:right w:val="none" w:sz="0" w:space="0" w:color="auto"/>
      </w:divBdr>
      <w:divsChild>
        <w:div w:id="18075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8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oregon.us2.list-manage.com/track/click?u=41b11f32beefba0380ee8ecb5&amp;id=9e6aa1f235&amp;e=71e94501e7__;!!C5qS4YX3!Uqm7baIQ86jloTQt3wexKQ0OzB28VwjRnBG876atilt3E_zw9-ln3DveX0RaMkYNc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rles.boyle@oregon.gov" TargetMode="External"/><Relationship Id="rId12" Type="http://schemas.openxmlformats.org/officeDocument/2006/relationships/hyperlink" Target="mailto:natalie.king@orego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urldefense.com/v3/__https:/oregon.us2.list-manage.com/track/click?u=41b11f32beefba0380ee8ecb5&amp;id=6e420b0a02&amp;e=71e94501e7__;!!C5qS4YX3!Uqm7baIQ86jloTQt3wexKQ0OzB28VwjRnBG876atilt3E_zw9-ln3DveX0Qml8yH9Q$" TargetMode="External"/><Relationship Id="rId5" Type="http://schemas.openxmlformats.org/officeDocument/2006/relationships/hyperlink" Target="https://urldefense.com/v3/__https:/mailchi.mp/oregon/news-releasegovernor-kate-brown-calls-on-legislature-to-support-pk-12-education-equity-legislation?e=71e94501e7__;!!C5qS4YX3!Uqm7baIQ86jloTQt3wexKQ0OzB28VwjRnBG876atilt3E_zw9-ln3DveX0TEJQ0ZUw$" TargetMode="External"/><Relationship Id="rId10" Type="http://schemas.openxmlformats.org/officeDocument/2006/relationships/hyperlink" Target="https://urldefense.com/v3/__https:/oregon.us2.list-manage.com/track/click?u=41b11f32beefba0380ee8ecb5&amp;id=cfbf6672b1&amp;e=71e94501e7__;!!C5qS4YX3!Uqm7baIQ86jloTQt3wexKQ0OzB28VwjRnBG876atilt3E_zw9-ln3DveX0TAA9vAbg$" TargetMode="External"/><Relationship Id="rId4" Type="http://schemas.openxmlformats.org/officeDocument/2006/relationships/webSettings" Target="webSettings.xml"/><Relationship Id="rId9" Type="http://schemas.openxmlformats.org/officeDocument/2006/relationships/hyperlink" Target="https://urldefense.com/v3/__https:/oregon.us2.list-manage.com/track/click?u=41b11f32beefba0380ee8ecb5&amp;id=82409040e6&amp;e=71e94501e7__;!!C5qS4YX3!Uqm7baIQ86jloTQt3wexKQ0OzB28VwjRnBG876atilt3E_zw9-ln3DveX0SJt4_Yv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Kamphaus</dc:creator>
  <cp:keywords/>
  <dc:description/>
  <cp:lastModifiedBy>Randy Kamphaus</cp:lastModifiedBy>
  <cp:revision>1</cp:revision>
  <dcterms:created xsi:type="dcterms:W3CDTF">2021-02-24T22:19:00Z</dcterms:created>
  <dcterms:modified xsi:type="dcterms:W3CDTF">2021-02-24T22:20:00Z</dcterms:modified>
</cp:coreProperties>
</file>