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BEF5" w14:textId="56630164" w:rsidR="003B3C03" w:rsidRPr="001D3655" w:rsidRDefault="00154319" w:rsidP="00154319">
      <w:pPr>
        <w:jc w:val="center"/>
        <w:rPr>
          <w:b/>
          <w:bCs/>
        </w:rPr>
      </w:pPr>
      <w:r w:rsidRPr="001D3655">
        <w:rPr>
          <w:b/>
          <w:bCs/>
        </w:rPr>
        <w:t>Implementation Guidance for CTF Promotion and Performance Review Policy</w:t>
      </w:r>
    </w:p>
    <w:p w14:paraId="77381CEB" w14:textId="77777777" w:rsidR="004758E6" w:rsidRPr="001D3655" w:rsidRDefault="004758E6" w:rsidP="004758E6">
      <w:pPr>
        <w:rPr>
          <w:b/>
          <w:bCs/>
        </w:rPr>
      </w:pPr>
      <w:r w:rsidRPr="001D3655">
        <w:rPr>
          <w:b/>
          <w:bCs/>
        </w:rPr>
        <w:t>The notes below are DRAFT CONTENT ONLY:</w:t>
      </w:r>
    </w:p>
    <w:p w14:paraId="5A2D885F" w14:textId="59C0DE5E" w:rsidR="001D3655" w:rsidRPr="001D3655" w:rsidRDefault="001D3655" w:rsidP="001D3655">
      <w:pPr>
        <w:rPr>
          <w:b/>
          <w:bCs/>
        </w:rPr>
      </w:pPr>
      <w:r w:rsidRPr="001D3655">
        <w:rPr>
          <w:b/>
          <w:bCs/>
        </w:rPr>
        <w:t>Teaching:</w:t>
      </w:r>
    </w:p>
    <w:p w14:paraId="1FD591C2" w14:textId="5D6D0D58" w:rsidR="001D3655" w:rsidRPr="001D3655" w:rsidRDefault="001D3655" w:rsidP="001D3655">
      <w:pPr>
        <w:rPr>
          <w:i/>
          <w:iCs/>
        </w:rPr>
      </w:pPr>
      <w:r w:rsidRPr="001D3655">
        <w:t xml:space="preserve">Add content that ensures that faculty under performance review for research-informed teaching will be evaluated on course content only to the extent they have been given opportunity or latitude to create, add to, or modify the content they are teaching. </w:t>
      </w:r>
      <w:r w:rsidRPr="001D3655">
        <w:rPr>
          <w:i/>
          <w:iCs/>
        </w:rPr>
        <w:t>Make a similar edit to the Teaching Rubric if possible.</w:t>
      </w:r>
    </w:p>
    <w:p w14:paraId="207A04C4" w14:textId="4ACCB83D" w:rsidR="001D3655" w:rsidRPr="001D3655" w:rsidRDefault="001D3655">
      <w:pPr>
        <w:rPr>
          <w:b/>
          <w:bCs/>
        </w:rPr>
      </w:pPr>
      <w:r w:rsidRPr="001D3655">
        <w:rPr>
          <w:b/>
          <w:bCs/>
        </w:rPr>
        <w:t>Non-instructional expectations:</w:t>
      </w:r>
    </w:p>
    <w:p w14:paraId="1679ABD3" w14:textId="0670625C" w:rsidR="00C22480" w:rsidRPr="001D3655" w:rsidRDefault="004D23A1">
      <w:r w:rsidRPr="001D3655">
        <w:t>I</w:t>
      </w:r>
      <w:r w:rsidR="005B6D1A" w:rsidRPr="001D3655">
        <w:t xml:space="preserve">mplementation guidance needs to clearly state the COE relationship between </w:t>
      </w:r>
      <w:r w:rsidR="005B6D1A" w:rsidRPr="001D3655">
        <w:rPr>
          <w:b/>
          <w:bCs/>
        </w:rPr>
        <w:t>non-instructional FTE and instructional FTE</w:t>
      </w:r>
      <w:r w:rsidR="00C22480" w:rsidRPr="001D3655">
        <w:t xml:space="preserve"> specifically, expectations around and between </w:t>
      </w:r>
      <w:r w:rsidR="005B6D1A" w:rsidRPr="001D3655">
        <w:t>service, professional development, scholarship, and administrative duties</w:t>
      </w:r>
      <w:r w:rsidR="00C22480" w:rsidRPr="001D3655">
        <w:t xml:space="preserve"> that</w:t>
      </w:r>
      <w:r w:rsidR="005B6D1A" w:rsidRPr="001D3655">
        <w:t xml:space="preserve"> fall outside of the 80% instructional FTE </w:t>
      </w:r>
      <w:r w:rsidR="007C7BF6" w:rsidRPr="001D3655">
        <w:t xml:space="preserve">expectation </w:t>
      </w:r>
      <w:r w:rsidRPr="001D3655">
        <w:t>especially for instructional and how those activities become “applicable” or “allocated”</w:t>
      </w:r>
      <w:r w:rsidR="007C7BF6" w:rsidRPr="001D3655">
        <w:t xml:space="preserve">. </w:t>
      </w:r>
      <w:r w:rsidR="00C22480" w:rsidRPr="001D3655">
        <w:t xml:space="preserve">This policy </w:t>
      </w:r>
      <w:r w:rsidRPr="001D3655">
        <w:t>will</w:t>
      </w:r>
      <w:r w:rsidR="00C22480" w:rsidRPr="001D3655">
        <w:t xml:space="preserve"> not suggest a</w:t>
      </w:r>
      <w:r w:rsidRPr="001D3655">
        <w:t xml:space="preserve"> specific</w:t>
      </w:r>
      <w:r w:rsidR="00C22480" w:rsidRPr="001D3655">
        <w:t xml:space="preserve"> FTE for any of these areas</w:t>
      </w:r>
      <w:r w:rsidRPr="001D3655">
        <w:t xml:space="preserve"> beyond the .2 (20%) already in place in the COE</w:t>
      </w:r>
      <w:r w:rsidR="00C22480" w:rsidRPr="001D3655">
        <w:t xml:space="preserve">.  </w:t>
      </w:r>
      <w:r w:rsidR="007C7BF6" w:rsidRPr="001D3655">
        <w:t>FTE for each of these areas</w:t>
      </w:r>
      <w:r w:rsidR="005B6D1A" w:rsidRPr="001D3655">
        <w:t xml:space="preserve"> </w:t>
      </w:r>
      <w:r w:rsidR="007C7BF6" w:rsidRPr="001D3655">
        <w:t xml:space="preserve">will vary by individual CIF and will be considered in workload conversations with the faculty </w:t>
      </w:r>
      <w:proofErr w:type="gramStart"/>
      <w:r w:rsidR="007C7BF6" w:rsidRPr="001D3655">
        <w:t>member’s</w:t>
      </w:r>
      <w:proofErr w:type="gramEnd"/>
      <w:r w:rsidR="007C7BF6" w:rsidRPr="001D3655">
        <w:t xml:space="preserve"> department head. </w:t>
      </w:r>
    </w:p>
    <w:p w14:paraId="2E7B6BC6" w14:textId="760BD375" w:rsidR="00154319" w:rsidRPr="001D3655" w:rsidRDefault="007C7BF6">
      <w:r w:rsidRPr="001D3655">
        <w:t>For the purposes of performance, C</w:t>
      </w:r>
      <w:r w:rsidR="001D3655" w:rsidRPr="001D3655">
        <w:t xml:space="preserve">areer instructional faculty </w:t>
      </w:r>
      <w:r w:rsidRPr="001D3655">
        <w:t xml:space="preserve">are only evaluated on activities formally allocated and/or assigned in conjunction with discussions with their DH. </w:t>
      </w:r>
      <w:r w:rsidR="005B6D1A" w:rsidRPr="001D3655">
        <w:t xml:space="preserve"> </w:t>
      </w:r>
    </w:p>
    <w:p w14:paraId="4E3592B5" w14:textId="076816D5" w:rsidR="00B66196" w:rsidRPr="001D3655" w:rsidRDefault="00B66196" w:rsidP="00B66196">
      <w:r w:rsidRPr="001D3655">
        <w:rPr>
          <w:b/>
          <w:bCs/>
        </w:rPr>
        <w:t>Sample scenario:</w:t>
      </w:r>
      <w:r w:rsidRPr="001D3655">
        <w:t xml:space="preserve"> A faculty member may be assigned to support a single project</w:t>
      </w:r>
      <w:r w:rsidR="005A71EF" w:rsidRPr="001D3655">
        <w:t xml:space="preserve"> which</w:t>
      </w:r>
      <w:r w:rsidR="004D23A1" w:rsidRPr="001D3655">
        <w:t xml:space="preserve"> </w:t>
      </w:r>
      <w:r w:rsidRPr="001D3655">
        <w:t xml:space="preserve">may touch on </w:t>
      </w:r>
      <w:r w:rsidR="005A71EF" w:rsidRPr="001D3655">
        <w:t>multiple</w:t>
      </w:r>
      <w:r w:rsidRPr="001D3655">
        <w:t xml:space="preserve"> areas (service, scholarship, professional development, administration). </w:t>
      </w:r>
    </w:p>
    <w:p w14:paraId="4F760C24" w14:textId="40865892" w:rsidR="00716EFE" w:rsidRPr="001D3655" w:rsidRDefault="00716EFE" w:rsidP="00744B57">
      <w:r w:rsidRPr="001D3655">
        <w:t>There are now f</w:t>
      </w:r>
      <w:r w:rsidR="00744B57" w:rsidRPr="001D3655">
        <w:t xml:space="preserve">our categories </w:t>
      </w:r>
      <w:r w:rsidRPr="001D3655">
        <w:t xml:space="preserve">that are used to </w:t>
      </w:r>
      <w:r w:rsidR="00744B57" w:rsidRPr="001D3655">
        <w:t xml:space="preserve">capture activities that fall outside of </w:t>
      </w:r>
      <w:r w:rsidRPr="001D3655">
        <w:t xml:space="preserve">a career instructional faculty member’s </w:t>
      </w:r>
      <w:proofErr w:type="gramStart"/>
      <w:r w:rsidR="005A71EF" w:rsidRPr="001D3655">
        <w:t>instructional expectations</w:t>
      </w:r>
      <w:proofErr w:type="gramEnd"/>
      <w:r w:rsidR="00744B57" w:rsidRPr="001D3655">
        <w:t xml:space="preserve">. </w:t>
      </w:r>
    </w:p>
    <w:p w14:paraId="68628757" w14:textId="17C174D6" w:rsidR="00744B57" w:rsidRPr="001D3655" w:rsidRDefault="00744B57" w:rsidP="001D3655">
      <w:pPr>
        <w:pStyle w:val="ListParagraph"/>
        <w:numPr>
          <w:ilvl w:val="0"/>
          <w:numId w:val="4"/>
        </w:numPr>
      </w:pPr>
      <w:r w:rsidRPr="001D3655">
        <w:rPr>
          <w:b/>
          <w:bCs/>
        </w:rPr>
        <w:t>Service</w:t>
      </w:r>
      <w:r w:rsidRPr="001D3655">
        <w:t xml:space="preserve"> refers to contributions that a faculty member engages in (either assigned or voluntarily) that serve to advance their disciplinary skillset and knowledge beyond their academic </w:t>
      </w:r>
      <w:r w:rsidR="00856429">
        <w:t>duties</w:t>
      </w:r>
      <w:r w:rsidRPr="001D3655">
        <w:t>. Some service activities may have overlap with administrative duties, professional development, and scholarship activities</w:t>
      </w:r>
      <w:r w:rsidR="00716EFE" w:rsidRPr="001D3655">
        <w:t xml:space="preserve">. Clarification of service roles take place through </w:t>
      </w:r>
      <w:r w:rsidRPr="001D3655">
        <w:t xml:space="preserve">discussion with their department </w:t>
      </w:r>
      <w:r w:rsidR="00006EAB" w:rsidRPr="001D3655">
        <w:t>head at the time of workload planning</w:t>
      </w:r>
      <w:r w:rsidRPr="001D3655">
        <w:t xml:space="preserve">. </w:t>
      </w:r>
    </w:p>
    <w:p w14:paraId="7C8DB4D3" w14:textId="456B6128" w:rsidR="005A71EF" w:rsidRPr="001D3655" w:rsidRDefault="00716EFE" w:rsidP="001D3655">
      <w:pPr>
        <w:pStyle w:val="ListParagraph"/>
        <w:numPr>
          <w:ilvl w:val="0"/>
          <w:numId w:val="4"/>
        </w:numPr>
      </w:pPr>
      <w:r w:rsidRPr="001D3655">
        <w:rPr>
          <w:b/>
          <w:bCs/>
        </w:rPr>
        <w:t>Scholarly activity</w:t>
      </w:r>
      <w:r w:rsidRPr="001D3655">
        <w:t xml:space="preserve"> i</w:t>
      </w:r>
      <w:r w:rsidR="00744B57" w:rsidRPr="001D3655">
        <w:t>n the COE</w:t>
      </w:r>
      <w:r w:rsidR="00A61052" w:rsidRPr="001D3655">
        <w:t>,</w:t>
      </w:r>
      <w:r w:rsidR="00744B57" w:rsidRPr="001D3655">
        <w:t xml:space="preserve"> </w:t>
      </w:r>
      <w:r w:rsidR="00067048" w:rsidRPr="001D3655">
        <w:t>career instructional faculty are only evaluated on scholarly activity</w:t>
      </w:r>
      <w:r w:rsidRPr="001D3655">
        <w:t xml:space="preserve"> </w:t>
      </w:r>
      <w:r w:rsidR="00A61052" w:rsidRPr="001D3655">
        <w:t xml:space="preserve">for the purposes of promotion if </w:t>
      </w:r>
      <w:r w:rsidRPr="001D3655">
        <w:t xml:space="preserve">the activity is </w:t>
      </w:r>
      <w:r w:rsidR="00A61052" w:rsidRPr="001D3655">
        <w:t xml:space="preserve">applicable to their role either through assigned FTE or through </w:t>
      </w:r>
      <w:r w:rsidRPr="001D3655">
        <w:t>prior discussion</w:t>
      </w:r>
      <w:r w:rsidR="00A61052" w:rsidRPr="001D3655">
        <w:t xml:space="preserve"> with their department head</w:t>
      </w:r>
      <w:r w:rsidRPr="001D3655">
        <w:t xml:space="preserve"> approved at the time of workload planning</w:t>
      </w:r>
      <w:r w:rsidR="00A61052" w:rsidRPr="001D3655">
        <w:t xml:space="preserve">. </w:t>
      </w:r>
      <w:r w:rsidR="005A71EF" w:rsidRPr="001D3655">
        <w:t xml:space="preserve">For career instructional faculty </w:t>
      </w:r>
      <w:r w:rsidR="005A71EF" w:rsidRPr="001D3655">
        <w:lastRenderedPageBreak/>
        <w:t xml:space="preserve">who are being evaluated on scholarly activity, </w:t>
      </w:r>
      <w:r w:rsidR="005A71EF" w:rsidRPr="001D3655">
        <w:rPr>
          <w:rFonts w:eastAsiaTheme="minorEastAsia"/>
        </w:rPr>
        <w:t xml:space="preserve">no one form of inquiry or research method should be presumed to have greater weight than another. </w:t>
      </w:r>
      <w:r w:rsidR="005A71EF" w:rsidRPr="001D3655">
        <w:t>Faculty may not be penalized if FTE or allowance is not provided.</w:t>
      </w:r>
    </w:p>
    <w:p w14:paraId="524CB253" w14:textId="304DB580" w:rsidR="00716EFE" w:rsidRPr="001D3655" w:rsidRDefault="00716EFE" w:rsidP="001D3655">
      <w:pPr>
        <w:pStyle w:val="ListParagraph"/>
        <w:numPr>
          <w:ilvl w:val="0"/>
          <w:numId w:val="4"/>
        </w:numPr>
      </w:pPr>
      <w:r w:rsidRPr="001D3655">
        <w:rPr>
          <w:b/>
          <w:bCs/>
        </w:rPr>
        <w:t>Administrative duty</w:t>
      </w:r>
      <w:r w:rsidRPr="001D3655">
        <w:t xml:space="preserve"> in the COE, career instructional faculty are only evaluated on administrative duty for the purposes of promotion if the activity is applicable to their role either through assigned FTE or through prior discussion with their department head approved at the time of workload planning. </w:t>
      </w:r>
      <w:r w:rsidR="005A71EF" w:rsidRPr="001D3655">
        <w:t>Faculty may not be penalized if FTE or allowance is not provided.</w:t>
      </w:r>
    </w:p>
    <w:p w14:paraId="6CD6FE2F" w14:textId="20901FC1" w:rsidR="00F0191B" w:rsidRPr="001D3655" w:rsidRDefault="00F0191B" w:rsidP="001D3655">
      <w:pPr>
        <w:pStyle w:val="ListParagraph"/>
        <w:numPr>
          <w:ilvl w:val="0"/>
          <w:numId w:val="4"/>
        </w:numPr>
      </w:pPr>
      <w:r w:rsidRPr="001D3655">
        <w:rPr>
          <w:b/>
          <w:bCs/>
        </w:rPr>
        <w:t>Professional Development</w:t>
      </w:r>
      <w:r w:rsidR="00716EFE" w:rsidRPr="001D3655">
        <w:t xml:space="preserve"> </w:t>
      </w:r>
      <w:r w:rsidR="00F571D9" w:rsidRPr="001D3655">
        <w:t xml:space="preserve">All career instructional </w:t>
      </w:r>
      <w:proofErr w:type="gramStart"/>
      <w:r w:rsidR="00F571D9" w:rsidRPr="001D3655">
        <w:t>faculty</w:t>
      </w:r>
      <w:proofErr w:type="gramEnd"/>
      <w:r w:rsidR="00F571D9" w:rsidRPr="001D3655">
        <w:t xml:space="preserve"> are expected to identify activities from the performance period that, </w:t>
      </w:r>
      <w:proofErr w:type="gramStart"/>
      <w:r w:rsidR="00F571D9" w:rsidRPr="001D3655">
        <w:t>whether or not</w:t>
      </w:r>
      <w:proofErr w:type="gramEnd"/>
      <w:r w:rsidR="00F571D9" w:rsidRPr="001D3655">
        <w:t xml:space="preserve"> formally designated as professional development</w:t>
      </w:r>
      <w:r w:rsidR="005A71EF" w:rsidRPr="001D3655">
        <w:t>, may be</w:t>
      </w:r>
      <w:r w:rsidR="00F571D9" w:rsidRPr="001D3655">
        <w:t xml:space="preserve"> identif</w:t>
      </w:r>
      <w:r w:rsidR="005A71EF" w:rsidRPr="001D3655">
        <w:t>ied</w:t>
      </w:r>
      <w:r w:rsidR="00F571D9" w:rsidRPr="001D3655">
        <w:t xml:space="preserve"> as contributing to the maintenance and growth of the professional skills associated with their COE responsibilities.</w:t>
      </w:r>
    </w:p>
    <w:p w14:paraId="5F53E2CF" w14:textId="717A8A1B" w:rsidR="003E5223" w:rsidRPr="001D3655" w:rsidRDefault="003E5223">
      <w:pPr>
        <w:rPr>
          <w:b/>
          <w:bCs/>
        </w:rPr>
      </w:pPr>
      <w:r w:rsidRPr="001D3655">
        <w:rPr>
          <w:b/>
          <w:bCs/>
        </w:rPr>
        <w:t>Reviewers, Voters, and timing:</w:t>
      </w:r>
    </w:p>
    <w:p w14:paraId="604D6267" w14:textId="77777777" w:rsidR="00936B27" w:rsidRPr="001D3655" w:rsidRDefault="003E5223" w:rsidP="00936B27">
      <w:r w:rsidRPr="001D3655">
        <w:t xml:space="preserve">Specificity in terms of timing of reviews, and the reviewers, and voting at each stage is provided in the implementation guidance to be developed upon final approval of policy by </w:t>
      </w:r>
      <w:proofErr w:type="spellStart"/>
      <w:r w:rsidRPr="001D3655">
        <w:t>OtP</w:t>
      </w:r>
      <w:proofErr w:type="spellEnd"/>
      <w:r w:rsidRPr="001D3655">
        <w:t xml:space="preserve">. </w:t>
      </w:r>
      <w:r w:rsidR="00936B27" w:rsidRPr="001D3655">
        <w:rPr>
          <w:rFonts w:ascii="Segoe UI" w:eastAsia="Times New Roman" w:hAnsi="Segoe UI" w:cs="Segoe UI"/>
          <w:kern w:val="0"/>
          <w:sz w:val="18"/>
          <w:szCs w:val="18"/>
          <w14:ligatures w14:val="none"/>
        </w:rPr>
        <w:t xml:space="preserve"> </w:t>
      </w:r>
    </w:p>
    <w:p w14:paraId="348E26B4" w14:textId="32DE12B7" w:rsidR="00936B27" w:rsidRPr="001D3655" w:rsidRDefault="00936B27" w:rsidP="00936B27">
      <w:r w:rsidRPr="001D3655">
        <w:rPr>
          <w:b/>
          <w:bCs/>
        </w:rPr>
        <w:t>Voting:</w:t>
      </w:r>
      <w:r w:rsidRPr="001D3655">
        <w:t xml:space="preserve"> There are no guidelines for voting by unit for promotion. </w:t>
      </w:r>
      <w:r w:rsidR="007B7E9C" w:rsidRPr="001D3655">
        <w:t>Need to underscore that f</w:t>
      </w:r>
      <w:r w:rsidRPr="001D3655">
        <w:t>or research assistant promotion at any rank, Research Associate (any rank) and Research Professor (any rank) should be eligible to vote. Th</w:t>
      </w:r>
      <w:r w:rsidR="007B7E9C" w:rsidRPr="001D3655">
        <w:t xml:space="preserve">is has been implemented incorrectly in the past. </w:t>
      </w:r>
    </w:p>
    <w:p w14:paraId="760FB9E5" w14:textId="5DA17199" w:rsidR="001303D8" w:rsidRPr="001D3655" w:rsidRDefault="001303D8">
      <w:pPr>
        <w:rPr>
          <w:b/>
          <w:bCs/>
        </w:rPr>
      </w:pPr>
      <w:r w:rsidRPr="001D3655">
        <w:rPr>
          <w:b/>
          <w:bCs/>
        </w:rPr>
        <w:t>Career Research Faculty:</w:t>
      </w:r>
    </w:p>
    <w:p w14:paraId="7E69E2E8" w14:textId="455CBB34" w:rsidR="003E5223" w:rsidRPr="001D3655" w:rsidRDefault="001303D8">
      <w:r w:rsidRPr="001D3655">
        <w:t xml:space="preserve">Faculty may not be penalized if FTE or allowance is not provided. While aligned to a position description, activities for CRF are also often strongly aligned with the currency and relevance of the research portfolio which might change more often than their position description. </w:t>
      </w:r>
    </w:p>
    <w:p w14:paraId="06EE2363" w14:textId="11868353" w:rsidR="001C3A7D" w:rsidRPr="001D3655" w:rsidRDefault="001C3A7D" w:rsidP="001C3A7D">
      <w:pPr>
        <w:rPr>
          <w:b/>
          <w:bCs/>
        </w:rPr>
      </w:pPr>
      <w:r w:rsidRPr="001D3655">
        <w:rPr>
          <w:b/>
          <w:bCs/>
        </w:rPr>
        <w:t xml:space="preserve">Limited Duration Faculty: </w:t>
      </w:r>
    </w:p>
    <w:p w14:paraId="6D784A31" w14:textId="0DC5117A" w:rsidR="00F364F8" w:rsidRPr="001D3655" w:rsidRDefault="001C3A7D" w:rsidP="00F364F8">
      <w:r w:rsidRPr="001D3655">
        <w:t>Limited Duration faculty include</w:t>
      </w:r>
      <w:r w:rsidR="00F364F8" w:rsidRPr="001D3655">
        <w:t xml:space="preserve"> different faculty status, each of which may have differing evaluation expectations.</w:t>
      </w:r>
    </w:p>
    <w:p w14:paraId="357E8EAC" w14:textId="4851E6BE" w:rsidR="001C3A7D" w:rsidRPr="001D3655" w:rsidRDefault="001C3A7D" w:rsidP="001C3A7D">
      <w:pPr>
        <w:pStyle w:val="ListParagraph"/>
        <w:numPr>
          <w:ilvl w:val="0"/>
          <w:numId w:val="3"/>
        </w:numPr>
      </w:pPr>
      <w:r w:rsidRPr="001D3655">
        <w:t>Pro-</w:t>
      </w:r>
      <w:proofErr w:type="spellStart"/>
      <w:r w:rsidRPr="001D3655">
        <w:t>tem</w:t>
      </w:r>
      <w:proofErr w:type="spellEnd"/>
      <w:r w:rsidRPr="001D3655">
        <w:t xml:space="preserve"> instructional and supervision faculty</w:t>
      </w:r>
      <w:r w:rsidR="00F364F8" w:rsidRPr="001D3655">
        <w:t xml:space="preserve"> (informal reviews at the discretion of the department head and based on </w:t>
      </w:r>
      <w:proofErr w:type="gramStart"/>
      <w:r w:rsidR="00F364F8" w:rsidRPr="001D3655">
        <w:t>whether or not</w:t>
      </w:r>
      <w:proofErr w:type="gramEnd"/>
      <w:r w:rsidR="00F364F8" w:rsidRPr="001D3655">
        <w:t xml:space="preserve"> the individual will be returning to the role)</w:t>
      </w:r>
    </w:p>
    <w:p w14:paraId="152F18A8" w14:textId="5B42805C" w:rsidR="001C3A7D" w:rsidRPr="001D3655" w:rsidRDefault="001C3A7D" w:rsidP="001C3A7D">
      <w:pPr>
        <w:pStyle w:val="ListParagraph"/>
        <w:numPr>
          <w:ilvl w:val="0"/>
          <w:numId w:val="3"/>
        </w:numPr>
      </w:pPr>
      <w:r w:rsidRPr="001D3655">
        <w:t>Retired TTF or CTF faculty</w:t>
      </w:r>
      <w:r w:rsidR="00F364F8" w:rsidRPr="001D3655">
        <w:t xml:space="preserve"> (based on their prior role and prior hired status)</w:t>
      </w:r>
    </w:p>
    <w:p w14:paraId="5408A71A" w14:textId="04C7C403" w:rsidR="001C3A7D" w:rsidRPr="001D3655" w:rsidRDefault="001C3A7D" w:rsidP="001C3A7D">
      <w:pPr>
        <w:pStyle w:val="ListParagraph"/>
        <w:numPr>
          <w:ilvl w:val="0"/>
          <w:numId w:val="3"/>
        </w:numPr>
      </w:pPr>
      <w:r w:rsidRPr="001D3655">
        <w:t xml:space="preserve">Funding contingent faculty </w:t>
      </w:r>
      <w:r w:rsidR="00F364F8" w:rsidRPr="001D3655">
        <w:t>(formalized and based on their role within their (typically research) unit)</w:t>
      </w:r>
    </w:p>
    <w:p w14:paraId="6518F396" w14:textId="77777777" w:rsidR="00AA33A9" w:rsidRPr="001D3655" w:rsidRDefault="00AA33A9"/>
    <w:p w14:paraId="525B8FE6" w14:textId="77777777" w:rsidR="00AA33A9" w:rsidRPr="001D3655" w:rsidRDefault="00AA33A9"/>
    <w:p w14:paraId="06109A00" w14:textId="77777777" w:rsidR="001D3655" w:rsidRDefault="001D3655">
      <w:pPr>
        <w:rPr>
          <w:b/>
          <w:bCs/>
        </w:rPr>
      </w:pPr>
      <w:r>
        <w:rPr>
          <w:b/>
          <w:bCs/>
        </w:rPr>
        <w:br w:type="page"/>
      </w:r>
    </w:p>
    <w:p w14:paraId="2B9D8401" w14:textId="7CD803A4" w:rsidR="00BB1BEB" w:rsidRPr="001D3655" w:rsidRDefault="00BB1BEB" w:rsidP="00BB1BEB">
      <w:pPr>
        <w:jc w:val="center"/>
        <w:rPr>
          <w:b/>
          <w:bCs/>
        </w:rPr>
      </w:pPr>
      <w:r w:rsidRPr="001D3655">
        <w:rPr>
          <w:b/>
          <w:bCs/>
        </w:rPr>
        <w:lastRenderedPageBreak/>
        <w:t>Implementation Guidance for TTF Promotion and Performance Review Policy</w:t>
      </w:r>
    </w:p>
    <w:p w14:paraId="54DDF015" w14:textId="5D909A6F" w:rsidR="00BB1BEB" w:rsidRPr="001D3655" w:rsidRDefault="00BC194F" w:rsidP="00BB1BEB">
      <w:pPr>
        <w:rPr>
          <w:b/>
          <w:bCs/>
        </w:rPr>
      </w:pPr>
      <w:r w:rsidRPr="001D3655">
        <w:rPr>
          <w:b/>
          <w:bCs/>
        </w:rPr>
        <w:t>The notes below are DRAFT CONTENT ONLY:</w:t>
      </w:r>
    </w:p>
    <w:p w14:paraId="74581A91" w14:textId="14A00C09" w:rsidR="00AA33A9" w:rsidRDefault="00C54322">
      <w:r>
        <w:t xml:space="preserve">Performance beyond “meets”: Performance and promotion evaluations in this policy only describe the expectations necessary to meet expectations. Faculty may perform in manners that go beyond meets in any given area at any given time, and in the COE, this is typical. No specific expectation is listed in this policy regarding faculty performing beyond meets, but such service is valued and recognized internally. </w:t>
      </w:r>
    </w:p>
    <w:p w14:paraId="544650E9" w14:textId="754A6CA7" w:rsidR="00C54322" w:rsidRPr="001D3655" w:rsidRDefault="00C54322">
      <w:r>
        <w:t xml:space="preserve">In the COE, activities that go far beyond meets and that are considered activities that are substantially beyond the meeting expectations, are recognized at the time of awarding merit. Merit in the COE is currently awarded to meritorious activity that falls substantially beyond meeting expectations. </w:t>
      </w:r>
    </w:p>
    <w:p w14:paraId="646B37A9" w14:textId="006CD362" w:rsidR="00AA33A9" w:rsidRPr="001D3655" w:rsidRDefault="00AA33A9">
      <w:pPr>
        <w:rPr>
          <w:b/>
          <w:bCs/>
        </w:rPr>
      </w:pPr>
      <w:r w:rsidRPr="001D3655">
        <w:rPr>
          <w:b/>
          <w:bCs/>
        </w:rPr>
        <w:t>Scholarly activity:</w:t>
      </w:r>
    </w:p>
    <w:p w14:paraId="15BDB20E" w14:textId="2AD35FD3" w:rsidR="00AA33A9" w:rsidRPr="001D3655" w:rsidRDefault="001A358B" w:rsidP="00AA33A9">
      <w:pPr>
        <w:pStyle w:val="ListParagraph"/>
        <w:numPr>
          <w:ilvl w:val="0"/>
          <w:numId w:val="2"/>
        </w:numPr>
      </w:pPr>
      <w:r w:rsidRPr="001D3655">
        <w:t>May n</w:t>
      </w:r>
      <w:r w:rsidR="00AA33A9" w:rsidRPr="001D3655">
        <w:t>eed</w:t>
      </w:r>
      <w:r w:rsidRPr="001D3655">
        <w:t xml:space="preserve"> additional</w:t>
      </w:r>
      <w:r w:rsidR="00AA33A9" w:rsidRPr="001D3655">
        <w:t xml:space="preserve"> information that </w:t>
      </w:r>
      <w:proofErr w:type="gramStart"/>
      <w:r w:rsidR="00AA33A9" w:rsidRPr="001D3655">
        <w:t>explicates:</w:t>
      </w:r>
      <w:proofErr w:type="gramEnd"/>
      <w:r w:rsidR="00AA33A9" w:rsidRPr="001D3655">
        <w:t xml:space="preserve"> how other scholarly activities beyond those required by the </w:t>
      </w:r>
      <w:r w:rsidR="005A71EF" w:rsidRPr="001D3655">
        <w:t xml:space="preserve">meets or </w:t>
      </w:r>
      <w:proofErr w:type="gramStart"/>
      <w:r w:rsidR="005A71EF" w:rsidRPr="001D3655">
        <w:t>does</w:t>
      </w:r>
      <w:proofErr w:type="gramEnd"/>
      <w:r w:rsidR="005A71EF" w:rsidRPr="001D3655">
        <w:t xml:space="preserve"> not meet </w:t>
      </w:r>
      <w:r w:rsidR="00AA33A9" w:rsidRPr="001D3655">
        <w:t xml:space="preserve">criteria </w:t>
      </w:r>
      <w:r w:rsidR="005A71EF" w:rsidRPr="001D3655">
        <w:t>would be</w:t>
      </w:r>
      <w:r w:rsidR="00AA33A9" w:rsidRPr="001D3655">
        <w:t xml:space="preserve"> used in the evaluation.</w:t>
      </w:r>
      <w:r w:rsidR="00D02DB8" w:rsidRPr="001D3655">
        <w:t xml:space="preserve"> Address concerns about the language that implies there are still quality-based considerations that may be used in evaluation that are not made explicit via the language in this draft given the metaphoric language.</w:t>
      </w:r>
    </w:p>
    <w:p w14:paraId="2093FFEE" w14:textId="2964858D" w:rsidR="00AA33A9" w:rsidRPr="001D3655" w:rsidRDefault="00AA33A9" w:rsidP="00AA33A9">
      <w:pPr>
        <w:pStyle w:val="ListParagraph"/>
      </w:pPr>
    </w:p>
    <w:p w14:paraId="5CA8B3EA" w14:textId="0D866A02" w:rsidR="001A358B" w:rsidRPr="001D3655" w:rsidRDefault="001A358B" w:rsidP="001A358B">
      <w:pPr>
        <w:pStyle w:val="ListParagraph"/>
        <w:numPr>
          <w:ilvl w:val="0"/>
          <w:numId w:val="2"/>
        </w:numPr>
      </w:pPr>
      <w:r w:rsidRPr="001D3655">
        <w:t>May n</w:t>
      </w:r>
      <w:r w:rsidR="00AA33A9" w:rsidRPr="001D3655">
        <w:t xml:space="preserve">eed </w:t>
      </w:r>
      <w:r w:rsidRPr="001D3655">
        <w:t xml:space="preserve">additional </w:t>
      </w:r>
      <w:r w:rsidR="00AA33A9" w:rsidRPr="001D3655">
        <w:t>information that explicates</w:t>
      </w:r>
      <w:r w:rsidRPr="001D3655">
        <w:t xml:space="preserve"> how c</w:t>
      </w:r>
      <w:r w:rsidR="00AA33A9" w:rsidRPr="001D3655">
        <w:t xml:space="preserve">onsideration will be given to...author </w:t>
      </w:r>
      <w:proofErr w:type="gramStart"/>
      <w:r w:rsidR="00AA33A9" w:rsidRPr="001D3655">
        <w:t>order,  inclusion</w:t>
      </w:r>
      <w:proofErr w:type="gramEnd"/>
      <w:r w:rsidR="00AA33A9" w:rsidRPr="001D3655">
        <w:t xml:space="preserve"> of students</w:t>
      </w:r>
      <w:r w:rsidRPr="001D3655">
        <w:t>*,</w:t>
      </w:r>
      <w:r w:rsidR="00AA33A9" w:rsidRPr="001D3655">
        <w:t xml:space="preserve"> or colleagues as co-authors" - it is not clear </w:t>
      </w:r>
      <w:r w:rsidRPr="001D3655">
        <w:t>exactly where the value is placed</w:t>
      </w:r>
      <w:r w:rsidR="00AA33A9" w:rsidRPr="001D3655">
        <w:t>. Does this imply that having colleagues as co-authors is of higher value? Or having many colleagues as co-authors lessens the impact?</w:t>
      </w:r>
    </w:p>
    <w:p w14:paraId="2CDD3802" w14:textId="6D5938CA" w:rsidR="001A358B" w:rsidRPr="001D3655" w:rsidRDefault="001A358B" w:rsidP="00AA33A9">
      <w:pPr>
        <w:pStyle w:val="ListParagraph"/>
      </w:pPr>
      <w:r w:rsidRPr="001D3655">
        <w:t xml:space="preserve">Where more </w:t>
      </w:r>
      <w:proofErr w:type="gramStart"/>
      <w:r w:rsidRPr="001D3655">
        <w:t>article</w:t>
      </w:r>
      <w:proofErr w:type="gramEnd"/>
      <w:r w:rsidRPr="001D3655">
        <w:t xml:space="preserve"> in journals with lesser impact may fit into evaluation status.</w:t>
      </w:r>
    </w:p>
    <w:p w14:paraId="75B463C2" w14:textId="77777777" w:rsidR="00B2219E" w:rsidRPr="001D3655" w:rsidRDefault="00B2219E" w:rsidP="00AA33A9">
      <w:pPr>
        <w:pStyle w:val="ListParagraph"/>
      </w:pPr>
    </w:p>
    <w:p w14:paraId="29C92CEF" w14:textId="780DB113" w:rsidR="00B2219E" w:rsidRPr="001D3655" w:rsidRDefault="001A358B" w:rsidP="00AA33A9">
      <w:pPr>
        <w:pStyle w:val="ListParagraph"/>
      </w:pPr>
      <w:r w:rsidRPr="001D3655">
        <w:t>(*</w:t>
      </w:r>
      <w:r w:rsidR="00B2219E" w:rsidRPr="001D3655">
        <w:t xml:space="preserve">The way scholarship is written it seems we must include student authors. With changes to funding what happens if we are unable to mentor PhD students and teach in a field where master's students </w:t>
      </w:r>
      <w:proofErr w:type="gramStart"/>
      <w:r w:rsidR="00B2219E" w:rsidRPr="001D3655">
        <w:t>are not able to</w:t>
      </w:r>
      <w:proofErr w:type="gramEnd"/>
      <w:r w:rsidR="00B2219E" w:rsidRPr="001D3655">
        <w:t xml:space="preserve"> participate in research?</w:t>
      </w:r>
    </w:p>
    <w:p w14:paraId="310683B2" w14:textId="66B74B0B" w:rsidR="00136001" w:rsidRPr="001D3655" w:rsidRDefault="00136001" w:rsidP="00AA33A9">
      <w:pPr>
        <w:pStyle w:val="ListParagraph"/>
      </w:pPr>
      <w:r w:rsidRPr="001D3655">
        <w:t>Given the unknown future of student funding, and program timelines in the CPSY doctoral program, I wonder if there can be a clause added that makes clear that these factors will be considered when evaluating student co-authors on publications.</w:t>
      </w:r>
      <w:r w:rsidR="001A358B" w:rsidRPr="001D3655">
        <w:t>)</w:t>
      </w:r>
    </w:p>
    <w:p w14:paraId="47E31DF4" w14:textId="77777777" w:rsidR="00C62A8B" w:rsidRPr="001D3655" w:rsidRDefault="00C62A8B" w:rsidP="00AA33A9">
      <w:pPr>
        <w:pStyle w:val="ListParagraph"/>
      </w:pPr>
    </w:p>
    <w:p w14:paraId="14EDCBD0" w14:textId="38E6E28E" w:rsidR="00C62A8B" w:rsidRPr="001D3655" w:rsidRDefault="00C62A8B" w:rsidP="00C62A8B">
      <w:pPr>
        <w:rPr>
          <w:b/>
          <w:bCs/>
        </w:rPr>
      </w:pPr>
      <w:r w:rsidRPr="001D3655">
        <w:rPr>
          <w:b/>
          <w:bCs/>
        </w:rPr>
        <w:t>Mentorship:</w:t>
      </w:r>
    </w:p>
    <w:p w14:paraId="00850143" w14:textId="6710028C" w:rsidR="007C22AE" w:rsidRPr="001D3655" w:rsidRDefault="00C54322" w:rsidP="00CC747A">
      <w:pPr>
        <w:pStyle w:val="ListParagraph"/>
      </w:pPr>
      <w:r>
        <w:lastRenderedPageBreak/>
        <w:t xml:space="preserve">Expectations for mentorship of students </w:t>
      </w:r>
      <w:proofErr w:type="gramStart"/>
      <w:r>
        <w:t>is</w:t>
      </w:r>
      <w:proofErr w:type="gramEnd"/>
      <w:r>
        <w:t xml:space="preserve"> provided in the professional responsibilities policy.</w:t>
      </w:r>
    </w:p>
    <w:p w14:paraId="097D002A" w14:textId="5E23CFD3" w:rsidR="00156C32" w:rsidRPr="001D3655" w:rsidRDefault="00156C32" w:rsidP="00156C32">
      <w:pPr>
        <w:rPr>
          <w:b/>
          <w:bCs/>
        </w:rPr>
      </w:pPr>
      <w:r w:rsidRPr="001D3655">
        <w:rPr>
          <w:b/>
          <w:bCs/>
        </w:rPr>
        <w:t>Service:</w:t>
      </w:r>
    </w:p>
    <w:p w14:paraId="627A4ABE" w14:textId="792881A9" w:rsidR="00156C32" w:rsidRPr="001D3655" w:rsidRDefault="007F4580" w:rsidP="00156C32">
      <w:r w:rsidRPr="007F4580">
        <w:rPr>
          <w:b/>
          <w:bCs/>
        </w:rPr>
        <w:t>Differences by rank:</w:t>
      </w:r>
      <w:r>
        <w:t xml:space="preserve"> A</w:t>
      </w:r>
      <w:r w:rsidR="00156C32" w:rsidRPr="001D3655">
        <w:t xml:space="preserve">dd specificity around how service may differ by rank for TTF faculty. </w:t>
      </w:r>
    </w:p>
    <w:p w14:paraId="4D8F0438" w14:textId="78EEC1D3" w:rsidR="007F4580" w:rsidRPr="007F4580" w:rsidRDefault="007F4580" w:rsidP="007C22AE">
      <w:pPr>
        <w:rPr>
          <w:b/>
          <w:bCs/>
        </w:rPr>
      </w:pPr>
      <w:r>
        <w:rPr>
          <w:b/>
          <w:bCs/>
        </w:rPr>
        <w:t>Expectations around pr</w:t>
      </w:r>
      <w:r w:rsidRPr="007F4580">
        <w:rPr>
          <w:b/>
          <w:bCs/>
        </w:rPr>
        <w:t xml:space="preserve">ofessional credentialling: </w:t>
      </w:r>
      <w:r>
        <w:t xml:space="preserve">Faculty who have and maintain special credentialling to support programs in the COE are encouraged to work with their department head to ensure that the expectations are captured in service </w:t>
      </w:r>
    </w:p>
    <w:p w14:paraId="4E8A395F" w14:textId="03B46DDA" w:rsidR="007C22AE" w:rsidRPr="001D3655" w:rsidRDefault="007C22AE" w:rsidP="007C22AE">
      <w:pPr>
        <w:rPr>
          <w:b/>
          <w:bCs/>
        </w:rPr>
      </w:pPr>
      <w:r w:rsidRPr="001D3655">
        <w:t xml:space="preserve"> </w:t>
      </w:r>
      <w:r w:rsidR="00302920" w:rsidRPr="001D3655">
        <w:rPr>
          <w:b/>
          <w:bCs/>
        </w:rPr>
        <w:t>Promotion Process:</w:t>
      </w:r>
    </w:p>
    <w:p w14:paraId="22616874" w14:textId="1803AF10" w:rsidR="00302920" w:rsidRPr="001D3655" w:rsidRDefault="00302920" w:rsidP="00302920">
      <w:r w:rsidRPr="001D3655">
        <w:t xml:space="preserve">Need specificity around: what happens if there aren't sufficient experts in your field at AAU institutions. Having majority from AAU does this mean that in this instance this faculty will have a larger number of external reviewers than is typical to adjust? Whose letters will be weighted? What happens if experts endorse </w:t>
      </w:r>
      <w:proofErr w:type="gramStart"/>
      <w:r w:rsidRPr="001D3655">
        <w:t>promotion</w:t>
      </w:r>
      <w:proofErr w:type="gramEnd"/>
      <w:r w:rsidRPr="001D3655">
        <w:t xml:space="preserve"> but non-experts do not? How many external reviewers </w:t>
      </w:r>
      <w:proofErr w:type="gramStart"/>
      <w:r w:rsidRPr="001D3655">
        <w:t>is</w:t>
      </w:r>
      <w:proofErr w:type="gramEnd"/>
      <w:r w:rsidRPr="001D3655">
        <w:t xml:space="preserve"> "typical"? The policy indicates </w:t>
      </w:r>
      <w:proofErr w:type="gramStart"/>
      <w:r w:rsidRPr="001D3655">
        <w:t>the majority of</w:t>
      </w:r>
      <w:proofErr w:type="gramEnd"/>
      <w:r w:rsidRPr="001D3655">
        <w:t xml:space="preserve"> reviewers will come from the department </w:t>
      </w:r>
      <w:proofErr w:type="gramStart"/>
      <w:r w:rsidRPr="001D3655">
        <w:t>head, but</w:t>
      </w:r>
      <w:proofErr w:type="gramEnd"/>
      <w:r w:rsidRPr="001D3655">
        <w:t xml:space="preserve"> does not indicate how the candidate's list will be used. What are the procedures if there is a significant gap between department head field and candidate field and the department head is unsure of how to identify external reviewers that are truly experts? Is there a way for a candidate to indicate someone who might not be a fair reviewer even if they don't have a conflict of interest per se? </w:t>
      </w:r>
    </w:p>
    <w:p w14:paraId="67E87319" w14:textId="3BE00023" w:rsidR="00302920" w:rsidRPr="001D3655" w:rsidRDefault="00B22174" w:rsidP="007C22AE">
      <w:r w:rsidRPr="00B22174">
        <w:rPr>
          <w:b/>
          <w:bCs/>
        </w:rPr>
        <w:t>AAU clarification</w:t>
      </w:r>
      <w:r>
        <w:t xml:space="preserve"> (relationships with external reviewers)</w:t>
      </w:r>
    </w:p>
    <w:p w14:paraId="0F8D2C53" w14:textId="1110F238" w:rsidR="00CC747A" w:rsidRPr="001D3655" w:rsidRDefault="00CC747A" w:rsidP="007C22AE">
      <w:pPr>
        <w:rPr>
          <w:b/>
          <w:bCs/>
        </w:rPr>
      </w:pPr>
      <w:r w:rsidRPr="001D3655">
        <w:rPr>
          <w:b/>
          <w:bCs/>
        </w:rPr>
        <w:t>Appeals:</w:t>
      </w:r>
    </w:p>
    <w:p w14:paraId="55EC545E" w14:textId="1B2C5A34" w:rsidR="00BB1BEB" w:rsidRPr="001D3655" w:rsidRDefault="00BB1BEB" w:rsidP="007C22AE">
      <w:r w:rsidRPr="001D3655">
        <w:t xml:space="preserve">Reference that appeals are possible through the </w:t>
      </w:r>
      <w:proofErr w:type="spellStart"/>
      <w:r w:rsidRPr="001D3655">
        <w:t>OtP</w:t>
      </w:r>
      <w:proofErr w:type="spellEnd"/>
      <w:r w:rsidRPr="001D3655">
        <w:t xml:space="preserve">, but not the process (as that occurs at the </w:t>
      </w:r>
      <w:proofErr w:type="spellStart"/>
      <w:r w:rsidRPr="001D3655">
        <w:t>OtP</w:t>
      </w:r>
      <w:proofErr w:type="spellEnd"/>
      <w:r w:rsidRPr="001D3655">
        <w:t xml:space="preserve"> discretion and internal process case by case)</w:t>
      </w:r>
    </w:p>
    <w:sectPr w:rsidR="00BB1BEB" w:rsidRPr="001D36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5B9B" w14:textId="77777777" w:rsidR="00BB1BEB" w:rsidRDefault="00BB1BEB" w:rsidP="00BB1BEB">
      <w:pPr>
        <w:spacing w:after="0" w:line="240" w:lineRule="auto"/>
      </w:pPr>
      <w:r>
        <w:separator/>
      </w:r>
    </w:p>
  </w:endnote>
  <w:endnote w:type="continuationSeparator" w:id="0">
    <w:p w14:paraId="0DADAC66" w14:textId="77777777" w:rsidR="00BB1BEB" w:rsidRDefault="00BB1BEB" w:rsidP="00BB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D616" w14:textId="77777777" w:rsidR="00DB1C30" w:rsidRDefault="00DB1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725319"/>
      <w:docPartObj>
        <w:docPartGallery w:val="Page Numbers (Bottom of Page)"/>
        <w:docPartUnique/>
      </w:docPartObj>
    </w:sdtPr>
    <w:sdtEndPr>
      <w:rPr>
        <w:noProof/>
      </w:rPr>
    </w:sdtEndPr>
    <w:sdtContent>
      <w:p w14:paraId="72F453D8" w14:textId="721D6E32" w:rsidR="00BB1BEB" w:rsidRDefault="00BB1B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29E08F" w14:textId="77777777" w:rsidR="00BB1BEB" w:rsidRDefault="00BB1B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CA8F" w14:textId="77777777" w:rsidR="00DB1C30" w:rsidRDefault="00DB1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392F" w14:textId="77777777" w:rsidR="00BB1BEB" w:rsidRDefault="00BB1BEB" w:rsidP="00BB1BEB">
      <w:pPr>
        <w:spacing w:after="0" w:line="240" w:lineRule="auto"/>
      </w:pPr>
      <w:r>
        <w:separator/>
      </w:r>
    </w:p>
  </w:footnote>
  <w:footnote w:type="continuationSeparator" w:id="0">
    <w:p w14:paraId="1E34E5C9" w14:textId="77777777" w:rsidR="00BB1BEB" w:rsidRDefault="00BB1BEB" w:rsidP="00BB1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8637" w14:textId="77777777" w:rsidR="00DB1C30" w:rsidRDefault="00DB1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663123"/>
      <w:docPartObj>
        <w:docPartGallery w:val="Watermarks"/>
        <w:docPartUnique/>
      </w:docPartObj>
    </w:sdtPr>
    <w:sdtEndPr/>
    <w:sdtContent>
      <w:p w14:paraId="5F72926C" w14:textId="1B4757B8" w:rsidR="00DB1C30" w:rsidRDefault="00B22174">
        <w:pPr>
          <w:pStyle w:val="Header"/>
        </w:pPr>
        <w:r>
          <w:rPr>
            <w:noProof/>
          </w:rPr>
          <w:pict w14:anchorId="1CA49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903F" w14:textId="77777777" w:rsidR="00DB1C30" w:rsidRDefault="00DB1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5066"/>
    <w:multiLevelType w:val="hybridMultilevel"/>
    <w:tmpl w:val="4C96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925BF"/>
    <w:multiLevelType w:val="hybridMultilevel"/>
    <w:tmpl w:val="6E727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C251E"/>
    <w:multiLevelType w:val="hybridMultilevel"/>
    <w:tmpl w:val="0FEAF27E"/>
    <w:lvl w:ilvl="0" w:tplc="11ECFF70">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56DA3"/>
    <w:multiLevelType w:val="hybridMultilevel"/>
    <w:tmpl w:val="C66A4E22"/>
    <w:lvl w:ilvl="0" w:tplc="E5CE9E96">
      <w:start w:val="1"/>
      <w:numFmt w:val="lowerLetter"/>
      <w:lvlText w:val="%1)"/>
      <w:lvlJc w:val="left"/>
      <w:pPr>
        <w:ind w:left="1020" w:hanging="360"/>
      </w:pPr>
    </w:lvl>
    <w:lvl w:ilvl="1" w:tplc="536A6FA2">
      <w:start w:val="1"/>
      <w:numFmt w:val="lowerLetter"/>
      <w:lvlText w:val="%2)"/>
      <w:lvlJc w:val="left"/>
      <w:pPr>
        <w:ind w:left="1020" w:hanging="360"/>
      </w:pPr>
    </w:lvl>
    <w:lvl w:ilvl="2" w:tplc="3C0AC3F2">
      <w:start w:val="1"/>
      <w:numFmt w:val="lowerLetter"/>
      <w:lvlText w:val="%3)"/>
      <w:lvlJc w:val="left"/>
      <w:pPr>
        <w:ind w:left="1020" w:hanging="360"/>
      </w:pPr>
    </w:lvl>
    <w:lvl w:ilvl="3" w:tplc="C268AF7E">
      <w:start w:val="1"/>
      <w:numFmt w:val="lowerLetter"/>
      <w:lvlText w:val="%4)"/>
      <w:lvlJc w:val="left"/>
      <w:pPr>
        <w:ind w:left="1020" w:hanging="360"/>
      </w:pPr>
    </w:lvl>
    <w:lvl w:ilvl="4" w:tplc="1596A4A4">
      <w:start w:val="1"/>
      <w:numFmt w:val="lowerLetter"/>
      <w:lvlText w:val="%5)"/>
      <w:lvlJc w:val="left"/>
      <w:pPr>
        <w:ind w:left="1020" w:hanging="360"/>
      </w:pPr>
    </w:lvl>
    <w:lvl w:ilvl="5" w:tplc="C720C286">
      <w:start w:val="1"/>
      <w:numFmt w:val="lowerLetter"/>
      <w:lvlText w:val="%6)"/>
      <w:lvlJc w:val="left"/>
      <w:pPr>
        <w:ind w:left="1020" w:hanging="360"/>
      </w:pPr>
    </w:lvl>
    <w:lvl w:ilvl="6" w:tplc="0DFAA20E">
      <w:start w:val="1"/>
      <w:numFmt w:val="lowerLetter"/>
      <w:lvlText w:val="%7)"/>
      <w:lvlJc w:val="left"/>
      <w:pPr>
        <w:ind w:left="1020" w:hanging="360"/>
      </w:pPr>
    </w:lvl>
    <w:lvl w:ilvl="7" w:tplc="6EFE9704">
      <w:start w:val="1"/>
      <w:numFmt w:val="lowerLetter"/>
      <w:lvlText w:val="%8)"/>
      <w:lvlJc w:val="left"/>
      <w:pPr>
        <w:ind w:left="1020" w:hanging="360"/>
      </w:pPr>
    </w:lvl>
    <w:lvl w:ilvl="8" w:tplc="FB884682">
      <w:start w:val="1"/>
      <w:numFmt w:val="lowerLetter"/>
      <w:lvlText w:val="%9)"/>
      <w:lvlJc w:val="left"/>
      <w:pPr>
        <w:ind w:left="1020" w:hanging="360"/>
      </w:pPr>
    </w:lvl>
  </w:abstractNum>
  <w:num w:numId="1" w16cid:durableId="772439385">
    <w:abstractNumId w:val="3"/>
  </w:num>
  <w:num w:numId="2" w16cid:durableId="974722012">
    <w:abstractNumId w:val="2"/>
  </w:num>
  <w:num w:numId="3" w16cid:durableId="2142652290">
    <w:abstractNumId w:val="1"/>
  </w:num>
  <w:num w:numId="4" w16cid:durableId="39616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19"/>
    <w:rsid w:val="00005802"/>
    <w:rsid w:val="00006EAB"/>
    <w:rsid w:val="00044A5E"/>
    <w:rsid w:val="00067048"/>
    <w:rsid w:val="00072DC4"/>
    <w:rsid w:val="001303D8"/>
    <w:rsid w:val="00136001"/>
    <w:rsid w:val="00154319"/>
    <w:rsid w:val="00156C32"/>
    <w:rsid w:val="001A358B"/>
    <w:rsid w:val="001C3A7D"/>
    <w:rsid w:val="001D3655"/>
    <w:rsid w:val="00302920"/>
    <w:rsid w:val="003B3C03"/>
    <w:rsid w:val="003E133F"/>
    <w:rsid w:val="003E5223"/>
    <w:rsid w:val="004750BD"/>
    <w:rsid w:val="004758E6"/>
    <w:rsid w:val="004D23A1"/>
    <w:rsid w:val="005177CB"/>
    <w:rsid w:val="005A71EF"/>
    <w:rsid w:val="005B6D1A"/>
    <w:rsid w:val="00665E71"/>
    <w:rsid w:val="006E3BCF"/>
    <w:rsid w:val="006E5714"/>
    <w:rsid w:val="006F30BE"/>
    <w:rsid w:val="00716EFE"/>
    <w:rsid w:val="00744B57"/>
    <w:rsid w:val="00776DBE"/>
    <w:rsid w:val="007B7E9C"/>
    <w:rsid w:val="007C22AE"/>
    <w:rsid w:val="007C7BF6"/>
    <w:rsid w:val="007F4580"/>
    <w:rsid w:val="00844F6B"/>
    <w:rsid w:val="00856429"/>
    <w:rsid w:val="008A5012"/>
    <w:rsid w:val="0093470C"/>
    <w:rsid w:val="00936B27"/>
    <w:rsid w:val="009C0B83"/>
    <w:rsid w:val="009D374B"/>
    <w:rsid w:val="00A61052"/>
    <w:rsid w:val="00A6722D"/>
    <w:rsid w:val="00A940B6"/>
    <w:rsid w:val="00AA33A9"/>
    <w:rsid w:val="00AE3AF7"/>
    <w:rsid w:val="00B22174"/>
    <w:rsid w:val="00B2219E"/>
    <w:rsid w:val="00B533E3"/>
    <w:rsid w:val="00B66196"/>
    <w:rsid w:val="00BB1BEB"/>
    <w:rsid w:val="00BC194F"/>
    <w:rsid w:val="00C22480"/>
    <w:rsid w:val="00C54322"/>
    <w:rsid w:val="00C62A8B"/>
    <w:rsid w:val="00CC747A"/>
    <w:rsid w:val="00D02DB8"/>
    <w:rsid w:val="00DB1C30"/>
    <w:rsid w:val="00DD2BA7"/>
    <w:rsid w:val="00E72C5D"/>
    <w:rsid w:val="00E959F9"/>
    <w:rsid w:val="00EC32FD"/>
    <w:rsid w:val="00F0191B"/>
    <w:rsid w:val="00F364F8"/>
    <w:rsid w:val="00F5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B3B115"/>
  <w15:chartTrackingRefBased/>
  <w15:docId w15:val="{4F6E8A81-52B1-4600-950B-BEA8E54C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3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3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3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3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3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3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3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3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319"/>
    <w:rPr>
      <w:rFonts w:eastAsiaTheme="majorEastAsia" w:cstheme="majorBidi"/>
      <w:color w:val="272727" w:themeColor="text1" w:themeTint="D8"/>
    </w:rPr>
  </w:style>
  <w:style w:type="paragraph" w:styleId="Title">
    <w:name w:val="Title"/>
    <w:basedOn w:val="Normal"/>
    <w:next w:val="Normal"/>
    <w:link w:val="TitleChar"/>
    <w:uiPriority w:val="10"/>
    <w:qFormat/>
    <w:rsid w:val="00154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319"/>
    <w:pPr>
      <w:spacing w:before="160"/>
      <w:jc w:val="center"/>
    </w:pPr>
    <w:rPr>
      <w:i/>
      <w:iCs/>
      <w:color w:val="404040" w:themeColor="text1" w:themeTint="BF"/>
    </w:rPr>
  </w:style>
  <w:style w:type="character" w:customStyle="1" w:styleId="QuoteChar">
    <w:name w:val="Quote Char"/>
    <w:basedOn w:val="DefaultParagraphFont"/>
    <w:link w:val="Quote"/>
    <w:uiPriority w:val="29"/>
    <w:rsid w:val="00154319"/>
    <w:rPr>
      <w:i/>
      <w:iCs/>
      <w:color w:val="404040" w:themeColor="text1" w:themeTint="BF"/>
    </w:rPr>
  </w:style>
  <w:style w:type="paragraph" w:styleId="ListParagraph">
    <w:name w:val="List Paragraph"/>
    <w:basedOn w:val="Normal"/>
    <w:uiPriority w:val="34"/>
    <w:qFormat/>
    <w:rsid w:val="00154319"/>
    <w:pPr>
      <w:ind w:left="720"/>
      <w:contextualSpacing/>
    </w:pPr>
  </w:style>
  <w:style w:type="character" w:styleId="IntenseEmphasis">
    <w:name w:val="Intense Emphasis"/>
    <w:basedOn w:val="DefaultParagraphFont"/>
    <w:uiPriority w:val="21"/>
    <w:qFormat/>
    <w:rsid w:val="00154319"/>
    <w:rPr>
      <w:i/>
      <w:iCs/>
      <w:color w:val="0F4761" w:themeColor="accent1" w:themeShade="BF"/>
    </w:rPr>
  </w:style>
  <w:style w:type="paragraph" w:styleId="IntenseQuote">
    <w:name w:val="Intense Quote"/>
    <w:basedOn w:val="Normal"/>
    <w:next w:val="Normal"/>
    <w:link w:val="IntenseQuoteChar"/>
    <w:uiPriority w:val="30"/>
    <w:qFormat/>
    <w:rsid w:val="00154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319"/>
    <w:rPr>
      <w:i/>
      <w:iCs/>
      <w:color w:val="0F4761" w:themeColor="accent1" w:themeShade="BF"/>
    </w:rPr>
  </w:style>
  <w:style w:type="character" w:styleId="IntenseReference">
    <w:name w:val="Intense Reference"/>
    <w:basedOn w:val="DefaultParagraphFont"/>
    <w:uiPriority w:val="32"/>
    <w:qFormat/>
    <w:rsid w:val="00154319"/>
    <w:rPr>
      <w:b/>
      <w:bCs/>
      <w:smallCaps/>
      <w:color w:val="0F4761" w:themeColor="accent1" w:themeShade="BF"/>
      <w:spacing w:val="5"/>
    </w:rPr>
  </w:style>
  <w:style w:type="character" w:styleId="CommentReference">
    <w:name w:val="annotation reference"/>
    <w:basedOn w:val="DefaultParagraphFont"/>
    <w:uiPriority w:val="99"/>
    <w:semiHidden/>
    <w:unhideWhenUsed/>
    <w:rsid w:val="00005802"/>
    <w:rPr>
      <w:sz w:val="16"/>
      <w:szCs w:val="16"/>
    </w:rPr>
  </w:style>
  <w:style w:type="paragraph" w:styleId="CommentText">
    <w:name w:val="annotation text"/>
    <w:basedOn w:val="Normal"/>
    <w:link w:val="CommentTextChar"/>
    <w:uiPriority w:val="99"/>
    <w:unhideWhenUsed/>
    <w:rsid w:val="00005802"/>
    <w:pPr>
      <w:spacing w:line="240" w:lineRule="auto"/>
    </w:pPr>
    <w:rPr>
      <w:sz w:val="20"/>
      <w:szCs w:val="20"/>
    </w:rPr>
  </w:style>
  <w:style w:type="character" w:customStyle="1" w:styleId="CommentTextChar">
    <w:name w:val="Comment Text Char"/>
    <w:basedOn w:val="DefaultParagraphFont"/>
    <w:link w:val="CommentText"/>
    <w:uiPriority w:val="99"/>
    <w:rsid w:val="00005802"/>
    <w:rPr>
      <w:sz w:val="20"/>
      <w:szCs w:val="20"/>
    </w:rPr>
  </w:style>
  <w:style w:type="paragraph" w:styleId="CommentSubject">
    <w:name w:val="annotation subject"/>
    <w:basedOn w:val="CommentText"/>
    <w:next w:val="CommentText"/>
    <w:link w:val="CommentSubjectChar"/>
    <w:uiPriority w:val="99"/>
    <w:semiHidden/>
    <w:unhideWhenUsed/>
    <w:rsid w:val="00005802"/>
    <w:rPr>
      <w:b/>
      <w:bCs/>
    </w:rPr>
  </w:style>
  <w:style w:type="character" w:customStyle="1" w:styleId="CommentSubjectChar">
    <w:name w:val="Comment Subject Char"/>
    <w:basedOn w:val="CommentTextChar"/>
    <w:link w:val="CommentSubject"/>
    <w:uiPriority w:val="99"/>
    <w:semiHidden/>
    <w:rsid w:val="00005802"/>
    <w:rPr>
      <w:b/>
      <w:bCs/>
      <w:sz w:val="20"/>
      <w:szCs w:val="20"/>
    </w:rPr>
  </w:style>
  <w:style w:type="paragraph" w:styleId="Header">
    <w:name w:val="header"/>
    <w:basedOn w:val="Normal"/>
    <w:link w:val="HeaderChar"/>
    <w:uiPriority w:val="99"/>
    <w:unhideWhenUsed/>
    <w:rsid w:val="00BB1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BEB"/>
  </w:style>
  <w:style w:type="paragraph" w:styleId="Footer">
    <w:name w:val="footer"/>
    <w:basedOn w:val="Normal"/>
    <w:link w:val="FooterChar"/>
    <w:uiPriority w:val="99"/>
    <w:unhideWhenUsed/>
    <w:rsid w:val="00BB1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BEB"/>
  </w:style>
  <w:style w:type="paragraph" w:styleId="Revision">
    <w:name w:val="Revision"/>
    <w:hidden/>
    <w:uiPriority w:val="99"/>
    <w:semiHidden/>
    <w:rsid w:val="00C224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1262</Words>
  <Characters>7068</Characters>
  <Application>Microsoft Office Word</Application>
  <DocSecurity>0</DocSecurity>
  <Lines>128</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Carrizales-Engelmann</dc:creator>
  <cp:keywords/>
  <dc:description/>
  <cp:lastModifiedBy>Dianna Carrizales-Engelmann</cp:lastModifiedBy>
  <cp:revision>12</cp:revision>
  <dcterms:created xsi:type="dcterms:W3CDTF">2026-02-03T20:51:00Z</dcterms:created>
  <dcterms:modified xsi:type="dcterms:W3CDTF">2026-02-07T01:28:00Z</dcterms:modified>
</cp:coreProperties>
</file>